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F1C859" w14:textId="415AAD5D" w:rsidR="00645B51" w:rsidRPr="00747C6C" w:rsidRDefault="00C475D6" w:rsidP="002A3B44">
      <w:pPr>
        <w:pStyle w:val="Bezodstpw"/>
        <w:jc w:val="right"/>
        <w:rPr>
          <w:rFonts w:asciiTheme="minorHAnsi" w:hAnsiTheme="minorHAnsi" w:cstheme="minorHAnsi"/>
          <w:b/>
          <w:sz w:val="20"/>
          <w:szCs w:val="20"/>
        </w:rPr>
      </w:pPr>
      <w:r w:rsidRPr="00747C6C">
        <w:rPr>
          <w:rFonts w:asciiTheme="minorHAnsi" w:hAnsiTheme="minorHAnsi" w:cstheme="minorHAnsi"/>
          <w:b/>
          <w:sz w:val="20"/>
          <w:szCs w:val="20"/>
        </w:rPr>
        <w:t xml:space="preserve">Załącznik </w:t>
      </w:r>
      <w:r w:rsidR="00E85E34" w:rsidRPr="00747C6C">
        <w:rPr>
          <w:rFonts w:asciiTheme="minorHAnsi" w:hAnsiTheme="minorHAnsi" w:cstheme="minorHAnsi"/>
          <w:b/>
          <w:sz w:val="20"/>
          <w:szCs w:val="20"/>
        </w:rPr>
        <w:t xml:space="preserve">nr 7 </w:t>
      </w:r>
      <w:r w:rsidR="00645B51" w:rsidRPr="00747C6C">
        <w:rPr>
          <w:rFonts w:asciiTheme="minorHAnsi" w:hAnsiTheme="minorHAnsi" w:cstheme="minorHAnsi"/>
          <w:b/>
          <w:sz w:val="20"/>
          <w:szCs w:val="20"/>
        </w:rPr>
        <w:t>do Umowy</w:t>
      </w:r>
    </w:p>
    <w:p w14:paraId="2B9FD7DF" w14:textId="77777777" w:rsidR="00645B51" w:rsidRPr="00E85E34" w:rsidRDefault="00645B51" w:rsidP="002A3B44">
      <w:pPr>
        <w:pStyle w:val="Bezodstpw"/>
        <w:jc w:val="center"/>
        <w:rPr>
          <w:rFonts w:ascii="Arial" w:hAnsi="Arial" w:cs="Arial"/>
          <w:b/>
          <w:sz w:val="18"/>
          <w:szCs w:val="18"/>
        </w:rPr>
      </w:pPr>
    </w:p>
    <w:p w14:paraId="2E29622D" w14:textId="77777777" w:rsidR="00645B51" w:rsidRPr="00E85E34" w:rsidRDefault="00645B51" w:rsidP="002A3B44">
      <w:pPr>
        <w:pStyle w:val="Bezodstpw"/>
        <w:jc w:val="center"/>
        <w:rPr>
          <w:rFonts w:ascii="Arial" w:hAnsi="Arial" w:cs="Arial"/>
          <w:b/>
          <w:sz w:val="18"/>
          <w:szCs w:val="18"/>
        </w:rPr>
      </w:pPr>
    </w:p>
    <w:p w14:paraId="404193A6" w14:textId="77777777" w:rsidR="007D370F" w:rsidRPr="00E85E34" w:rsidRDefault="007D370F" w:rsidP="002A3B44">
      <w:pPr>
        <w:pStyle w:val="Bezodstpw"/>
        <w:rPr>
          <w:rFonts w:ascii="Arial" w:hAnsi="Arial" w:cs="Arial"/>
          <w:b/>
          <w:sz w:val="20"/>
          <w:szCs w:val="18"/>
        </w:rPr>
      </w:pPr>
    </w:p>
    <w:p w14:paraId="2ECA2125" w14:textId="77777777" w:rsidR="00315FE3" w:rsidRPr="00747CDF" w:rsidRDefault="00C475D6" w:rsidP="002A3B44">
      <w:pPr>
        <w:pStyle w:val="Bezodstpw"/>
        <w:jc w:val="center"/>
        <w:rPr>
          <w:rFonts w:asciiTheme="minorHAnsi" w:hAnsiTheme="minorHAnsi" w:cstheme="minorHAnsi"/>
          <w:b/>
          <w:szCs w:val="22"/>
          <w:u w:val="single"/>
        </w:rPr>
      </w:pPr>
      <w:r w:rsidRPr="00747CDF">
        <w:rPr>
          <w:rFonts w:asciiTheme="minorHAnsi" w:hAnsiTheme="minorHAnsi" w:cstheme="minorHAnsi"/>
          <w:b/>
          <w:szCs w:val="22"/>
          <w:u w:val="single"/>
        </w:rPr>
        <w:t>KLAUZULA WALORYZACYJNA</w:t>
      </w:r>
    </w:p>
    <w:p w14:paraId="1B665A1E" w14:textId="77777777" w:rsidR="00C475D6" w:rsidRPr="00E85E34" w:rsidRDefault="00C475D6" w:rsidP="002A3B44">
      <w:pPr>
        <w:pStyle w:val="Bezodstpw"/>
        <w:jc w:val="both"/>
        <w:rPr>
          <w:rFonts w:ascii="Calibri" w:hAnsi="Calibri" w:cs="Calibri"/>
          <w:sz w:val="20"/>
          <w:szCs w:val="20"/>
        </w:rPr>
      </w:pPr>
    </w:p>
    <w:p w14:paraId="409BE3ED" w14:textId="7B7F4362" w:rsidR="00C475D6" w:rsidRPr="007D370F" w:rsidRDefault="00C475D6" w:rsidP="002A3B44">
      <w:pPr>
        <w:pStyle w:val="Bezodstpw"/>
        <w:jc w:val="both"/>
        <w:rPr>
          <w:rFonts w:ascii="Calibri" w:hAnsi="Calibri" w:cs="Calibri"/>
          <w:sz w:val="20"/>
          <w:szCs w:val="20"/>
        </w:rPr>
      </w:pPr>
      <w:r w:rsidRPr="00E85E34">
        <w:rPr>
          <w:rFonts w:ascii="Calibri" w:hAnsi="Calibri" w:cs="Calibri"/>
          <w:sz w:val="20"/>
          <w:szCs w:val="20"/>
        </w:rPr>
        <w:t>W przypadku wystąpienia okoliczności, o których mowa w § 19 ust.</w:t>
      </w:r>
      <w:r w:rsidR="00127F7E" w:rsidRPr="00E85E34">
        <w:rPr>
          <w:rFonts w:ascii="Calibri" w:hAnsi="Calibri" w:cs="Calibri"/>
          <w:sz w:val="20"/>
          <w:szCs w:val="20"/>
        </w:rPr>
        <w:t xml:space="preserve"> </w:t>
      </w:r>
      <w:r w:rsidRPr="00E85E34">
        <w:rPr>
          <w:rFonts w:ascii="Calibri" w:hAnsi="Calibri" w:cs="Calibri"/>
          <w:sz w:val="20"/>
          <w:szCs w:val="20"/>
        </w:rPr>
        <w:t xml:space="preserve">4 </w:t>
      </w:r>
      <w:r w:rsidR="00127F7E" w:rsidRPr="00E85E34">
        <w:rPr>
          <w:rFonts w:ascii="Calibri" w:hAnsi="Calibri" w:cs="Calibri"/>
          <w:sz w:val="20"/>
          <w:szCs w:val="20"/>
        </w:rPr>
        <w:t>U</w:t>
      </w:r>
      <w:r w:rsidRPr="00E85E34">
        <w:rPr>
          <w:rFonts w:ascii="Calibri" w:hAnsi="Calibri" w:cs="Calibri"/>
          <w:sz w:val="20"/>
          <w:szCs w:val="20"/>
        </w:rPr>
        <w:t>mowy każda ze Stron uprawniona jest</w:t>
      </w:r>
      <w:r w:rsidR="002A3B44">
        <w:rPr>
          <w:rFonts w:ascii="Calibri" w:hAnsi="Calibri" w:cs="Calibri"/>
          <w:sz w:val="20"/>
          <w:szCs w:val="20"/>
        </w:rPr>
        <w:t> </w:t>
      </w:r>
      <w:r w:rsidRPr="00E85E34">
        <w:rPr>
          <w:rFonts w:ascii="Calibri" w:hAnsi="Calibri" w:cs="Calibri"/>
          <w:sz w:val="20"/>
          <w:szCs w:val="20"/>
        </w:rPr>
        <w:t>do</w:t>
      </w:r>
      <w:r w:rsidR="002A3B44">
        <w:rPr>
          <w:rFonts w:ascii="Calibri" w:hAnsi="Calibri" w:cs="Calibri"/>
          <w:sz w:val="20"/>
          <w:szCs w:val="20"/>
        </w:rPr>
        <w:t> </w:t>
      </w:r>
      <w:r w:rsidRPr="00E85E34">
        <w:rPr>
          <w:rFonts w:ascii="Calibri" w:hAnsi="Calibri" w:cs="Calibri"/>
          <w:sz w:val="20"/>
          <w:szCs w:val="20"/>
        </w:rPr>
        <w:t xml:space="preserve">żądania zmiany wysokości wynagrodzenia i jej zwaloryzowania. Waloryzacja wynagrodzenia wyliczona będzie na podstawie ogólnego wskaźnika cen produkcji budowlano-montażowej opublikowanego przez Główny Urząd Statystyczny na stronie: </w:t>
      </w:r>
      <w:hyperlink r:id="rId7" w:history="1">
        <w:r w:rsidRPr="00E85E34">
          <w:rPr>
            <w:rStyle w:val="Hipercze"/>
            <w:rFonts w:ascii="Calibri" w:hAnsi="Calibri" w:cs="Calibri"/>
            <w:sz w:val="20"/>
            <w:szCs w:val="20"/>
          </w:rPr>
          <w:t>https://stat.gov.pl</w:t>
        </w:r>
      </w:hyperlink>
      <w:r w:rsidRPr="00E85E34">
        <w:rPr>
          <w:rFonts w:ascii="Calibri" w:hAnsi="Calibri" w:cs="Calibri"/>
          <w:sz w:val="20"/>
          <w:szCs w:val="20"/>
        </w:rPr>
        <w:t xml:space="preserve"> na zasadach:</w:t>
      </w:r>
    </w:p>
    <w:p w14:paraId="3783C953" w14:textId="77777777" w:rsidR="00C475D6" w:rsidRPr="007D370F" w:rsidRDefault="00C475D6" w:rsidP="002A3B44">
      <w:pPr>
        <w:pStyle w:val="Bezodstpw"/>
        <w:jc w:val="both"/>
        <w:rPr>
          <w:rFonts w:ascii="Calibri" w:hAnsi="Calibri" w:cs="Calibri"/>
          <w:sz w:val="20"/>
          <w:szCs w:val="20"/>
        </w:rPr>
      </w:pPr>
    </w:p>
    <w:p w14:paraId="55CF40E7" w14:textId="0142C3C5" w:rsidR="00C475D6" w:rsidRDefault="002A3B44" w:rsidP="002A3B44">
      <w:pPr>
        <w:pStyle w:val="Bezodstpw"/>
        <w:numPr>
          <w:ilvl w:val="0"/>
          <w:numId w:val="25"/>
        </w:numPr>
        <w:jc w:val="both"/>
        <w:rPr>
          <w:rFonts w:ascii="Calibri" w:hAnsi="Calibri" w:cs="Calibri"/>
          <w:sz w:val="20"/>
          <w:szCs w:val="20"/>
        </w:rPr>
      </w:pPr>
      <w:r>
        <w:rPr>
          <w:rFonts w:ascii="Calibri" w:hAnsi="Calibri" w:cs="Calibri"/>
          <w:sz w:val="20"/>
          <w:szCs w:val="20"/>
        </w:rPr>
        <w:t>w</w:t>
      </w:r>
      <w:r w:rsidR="00C475D6" w:rsidRPr="007D370F">
        <w:rPr>
          <w:rFonts w:ascii="Calibri" w:hAnsi="Calibri" w:cs="Calibri"/>
          <w:sz w:val="20"/>
          <w:szCs w:val="20"/>
        </w:rPr>
        <w:t>aloryzacja będzie odbywać się w oparciu o ogólny wskaźnik cen produkcji budowlano- montażowej („Budownictwo") publikowany przez Główny Urząd Statystyczny (zwany dalej GUS), dostępny w</w:t>
      </w:r>
      <w:r>
        <w:rPr>
          <w:rFonts w:ascii="Calibri" w:hAnsi="Calibri" w:cs="Calibri"/>
          <w:sz w:val="20"/>
          <w:szCs w:val="20"/>
        </w:rPr>
        <w:t> </w:t>
      </w:r>
      <w:r w:rsidR="00C475D6" w:rsidRPr="007D370F">
        <w:rPr>
          <w:rFonts w:ascii="Calibri" w:hAnsi="Calibri" w:cs="Calibri"/>
          <w:sz w:val="20"/>
          <w:szCs w:val="20"/>
        </w:rPr>
        <w:t xml:space="preserve">Dziedzinowej Bazie Wiedzy pod linkiem: </w:t>
      </w:r>
      <w:hyperlink r:id="rId8" w:history="1">
        <w:r w:rsidR="00C475D6" w:rsidRPr="007D370F">
          <w:rPr>
            <w:rStyle w:val="Hipercze"/>
            <w:rFonts w:ascii="Calibri" w:hAnsi="Calibri" w:cs="Calibri"/>
            <w:sz w:val="20"/>
            <w:szCs w:val="20"/>
            <w:lang w:eastAsia="en-US" w:bidi="en-US"/>
          </w:rPr>
          <w:t>http://swaid.stat.gov.pl/Ceny</w:t>
        </w:r>
      </w:hyperlink>
      <w:r w:rsidR="00C475D6" w:rsidRPr="007D370F">
        <w:rPr>
          <w:rFonts w:ascii="Calibri" w:hAnsi="Calibri" w:cs="Calibri"/>
          <w:sz w:val="20"/>
          <w:szCs w:val="20"/>
          <w:lang w:eastAsia="en-US" w:bidi="en-US"/>
        </w:rPr>
        <w:t xml:space="preserve"> </w:t>
      </w:r>
      <w:proofErr w:type="spellStart"/>
      <w:r w:rsidR="00C475D6" w:rsidRPr="007D370F">
        <w:rPr>
          <w:rFonts w:ascii="Calibri" w:hAnsi="Calibri" w:cs="Calibri"/>
          <w:sz w:val="20"/>
          <w:szCs w:val="20"/>
        </w:rPr>
        <w:t>dashboards</w:t>
      </w:r>
      <w:proofErr w:type="spellEnd"/>
      <w:r w:rsidR="00C475D6" w:rsidRPr="007D370F">
        <w:rPr>
          <w:rFonts w:ascii="Calibri" w:hAnsi="Calibri" w:cs="Calibri"/>
          <w:sz w:val="20"/>
          <w:szCs w:val="20"/>
        </w:rPr>
        <w:t xml:space="preserve">/Raporty predefiniowane/RAP DBD CEN 30.aspx, lub w Biuletynie Statystycznym, w układzie miesiąc poprzedni = 100 </w:t>
      </w:r>
      <w:r w:rsidR="007D370F">
        <w:rPr>
          <w:rStyle w:val="TeksttreciKursywa"/>
        </w:rPr>
        <w:t>(Ceny producentów - Ceny w </w:t>
      </w:r>
      <w:r w:rsidR="00C475D6" w:rsidRPr="007D370F">
        <w:rPr>
          <w:rStyle w:val="TeksttreciKursywa"/>
        </w:rPr>
        <w:t>budownictwie - Wskaźniki cen produkcji budowlano-montażowej - miesięcznie),</w:t>
      </w:r>
      <w:r w:rsidR="00C475D6" w:rsidRPr="007D370F">
        <w:rPr>
          <w:rFonts w:ascii="Calibri" w:hAnsi="Calibri" w:cs="Calibri"/>
          <w:sz w:val="20"/>
          <w:szCs w:val="20"/>
        </w:rPr>
        <w:t xml:space="preserve"> dotyczący kolejnych miesięcy kalendarzowych począwszy od miesiąca zawarcia umowy, do</w:t>
      </w:r>
      <w:r>
        <w:rPr>
          <w:rFonts w:ascii="Calibri" w:hAnsi="Calibri" w:cs="Calibri"/>
          <w:sz w:val="20"/>
          <w:szCs w:val="20"/>
        </w:rPr>
        <w:t> </w:t>
      </w:r>
      <w:r w:rsidR="00C475D6" w:rsidRPr="007D370F">
        <w:rPr>
          <w:rFonts w:ascii="Calibri" w:hAnsi="Calibri" w:cs="Calibri"/>
          <w:sz w:val="20"/>
          <w:szCs w:val="20"/>
        </w:rPr>
        <w:t>miesiąca za który zo</w:t>
      </w:r>
      <w:r w:rsidR="007D370F">
        <w:rPr>
          <w:rFonts w:ascii="Calibri" w:hAnsi="Calibri" w:cs="Calibri"/>
          <w:sz w:val="20"/>
          <w:szCs w:val="20"/>
        </w:rPr>
        <w:t>stała wystawiona faktura VAT, z </w:t>
      </w:r>
      <w:r w:rsidR="00C475D6" w:rsidRPr="007D370F">
        <w:rPr>
          <w:rFonts w:ascii="Calibri" w:hAnsi="Calibri" w:cs="Calibri"/>
          <w:sz w:val="20"/>
          <w:szCs w:val="20"/>
        </w:rPr>
        <w:t>zastrzeżeniem art. 439 ust. 3 PZP. W przypadku, gdyby w/w wskaźnik przestał być dostępny, Strony uzgodnią inny, najbardziej zbliżony wskaźnik publikowany przez GUS</w:t>
      </w:r>
      <w:r>
        <w:rPr>
          <w:rFonts w:ascii="Calibri" w:hAnsi="Calibri" w:cs="Calibri"/>
          <w:sz w:val="20"/>
          <w:szCs w:val="20"/>
        </w:rPr>
        <w:t>;</w:t>
      </w:r>
    </w:p>
    <w:p w14:paraId="63BFE03B" w14:textId="77777777" w:rsidR="002A3B44" w:rsidRDefault="002A3B44" w:rsidP="002A3B44">
      <w:pPr>
        <w:pStyle w:val="Bezodstpw"/>
        <w:ind w:left="720"/>
        <w:jc w:val="both"/>
        <w:rPr>
          <w:rFonts w:ascii="Calibri" w:hAnsi="Calibri" w:cs="Calibri"/>
          <w:sz w:val="20"/>
          <w:szCs w:val="20"/>
        </w:rPr>
      </w:pPr>
    </w:p>
    <w:p w14:paraId="2CB754DC" w14:textId="447939C6" w:rsidR="00C475D6" w:rsidRDefault="002A3B44" w:rsidP="002A3B44">
      <w:pPr>
        <w:pStyle w:val="Bezodstpw"/>
        <w:numPr>
          <w:ilvl w:val="0"/>
          <w:numId w:val="25"/>
        </w:numPr>
        <w:jc w:val="both"/>
        <w:rPr>
          <w:rFonts w:ascii="Calibri" w:hAnsi="Calibri" w:cs="Calibri"/>
          <w:sz w:val="20"/>
          <w:szCs w:val="20"/>
        </w:rPr>
      </w:pPr>
      <w:r w:rsidRPr="002A3B44">
        <w:rPr>
          <w:rFonts w:ascii="Calibri" w:hAnsi="Calibri" w:cs="Calibri"/>
          <w:sz w:val="20"/>
          <w:szCs w:val="20"/>
        </w:rPr>
        <w:t>t</w:t>
      </w:r>
      <w:r w:rsidR="00C475D6" w:rsidRPr="002A3B44">
        <w:rPr>
          <w:rFonts w:ascii="Calibri" w:hAnsi="Calibri" w:cs="Calibri"/>
          <w:sz w:val="20"/>
          <w:szCs w:val="20"/>
        </w:rPr>
        <w:t>erminem początkowym ustalenia zmiany wynagrodzenia (waloryzacji</w:t>
      </w:r>
      <w:r w:rsidR="007D370F" w:rsidRPr="002A3B44">
        <w:rPr>
          <w:rFonts w:ascii="Calibri" w:hAnsi="Calibri" w:cs="Calibri"/>
          <w:sz w:val="20"/>
          <w:szCs w:val="20"/>
        </w:rPr>
        <w:t>) jest dzień zawarcia umowy – z </w:t>
      </w:r>
      <w:r w:rsidR="00C475D6" w:rsidRPr="002A3B44">
        <w:rPr>
          <w:rFonts w:ascii="Calibri" w:hAnsi="Calibri" w:cs="Calibri"/>
          <w:sz w:val="20"/>
          <w:szCs w:val="20"/>
        </w:rPr>
        <w:t xml:space="preserve">zastrzeżeniem art. 439 ust. 3 PZP. (dalej „ </w:t>
      </w:r>
      <w:r w:rsidR="00C475D6" w:rsidRPr="007D370F">
        <w:rPr>
          <w:rStyle w:val="TeksttreciPogrubienie"/>
        </w:rPr>
        <w:t>termin początkowy</w:t>
      </w:r>
      <w:r w:rsidR="00C475D6" w:rsidRPr="002A3B44">
        <w:rPr>
          <w:rFonts w:ascii="Calibri" w:hAnsi="Calibri" w:cs="Calibri"/>
          <w:sz w:val="20"/>
          <w:szCs w:val="20"/>
        </w:rPr>
        <w:t>")</w:t>
      </w:r>
      <w:r>
        <w:rPr>
          <w:rFonts w:ascii="Calibri" w:hAnsi="Calibri" w:cs="Calibri"/>
          <w:sz w:val="20"/>
          <w:szCs w:val="20"/>
        </w:rPr>
        <w:t>;</w:t>
      </w:r>
    </w:p>
    <w:p w14:paraId="4B8EB7A3" w14:textId="77777777" w:rsidR="002A3B44" w:rsidRDefault="002A3B44" w:rsidP="002A3B44">
      <w:pPr>
        <w:pStyle w:val="Akapitzlist"/>
        <w:rPr>
          <w:rFonts w:ascii="Calibri" w:hAnsi="Calibri" w:cs="Calibri"/>
          <w:sz w:val="20"/>
          <w:szCs w:val="20"/>
        </w:rPr>
      </w:pPr>
    </w:p>
    <w:p w14:paraId="67FDD4B1" w14:textId="18998261" w:rsidR="00C475D6" w:rsidRDefault="002A3B44" w:rsidP="002A3B44">
      <w:pPr>
        <w:pStyle w:val="Bezodstpw"/>
        <w:numPr>
          <w:ilvl w:val="0"/>
          <w:numId w:val="25"/>
        </w:numPr>
        <w:jc w:val="both"/>
        <w:rPr>
          <w:rFonts w:ascii="Calibri" w:hAnsi="Calibri" w:cs="Calibri"/>
          <w:sz w:val="20"/>
          <w:szCs w:val="20"/>
        </w:rPr>
      </w:pPr>
      <w:r w:rsidRPr="002A3B44">
        <w:rPr>
          <w:rFonts w:ascii="Calibri" w:hAnsi="Calibri" w:cs="Calibri"/>
          <w:sz w:val="20"/>
          <w:szCs w:val="20"/>
        </w:rPr>
        <w:t>p</w:t>
      </w:r>
      <w:r w:rsidR="00C475D6" w:rsidRPr="002A3B44">
        <w:rPr>
          <w:rFonts w:ascii="Calibri" w:hAnsi="Calibri" w:cs="Calibri"/>
          <w:sz w:val="20"/>
          <w:szCs w:val="20"/>
        </w:rPr>
        <w:t>ierwsza możliwość ustalenia podstaw waloryzacji następuje po upływie 6 miesięcy licząc od terminu początkowego określonego zgodnie z pkt 2) powyżej. Każdy kolejny okres, za który ustalana ma</w:t>
      </w:r>
      <w:r w:rsidRPr="002A3B44">
        <w:rPr>
          <w:rFonts w:ascii="Calibri" w:hAnsi="Calibri" w:cs="Calibri"/>
          <w:sz w:val="20"/>
          <w:szCs w:val="20"/>
        </w:rPr>
        <w:t> </w:t>
      </w:r>
      <w:r w:rsidR="00C475D6" w:rsidRPr="002A3B44">
        <w:rPr>
          <w:rFonts w:ascii="Calibri" w:hAnsi="Calibri" w:cs="Calibri"/>
          <w:sz w:val="20"/>
          <w:szCs w:val="20"/>
        </w:rPr>
        <w:t>być</w:t>
      </w:r>
      <w:r w:rsidRPr="002A3B44">
        <w:rPr>
          <w:rFonts w:ascii="Calibri" w:hAnsi="Calibri" w:cs="Calibri"/>
          <w:sz w:val="20"/>
          <w:szCs w:val="20"/>
        </w:rPr>
        <w:t> </w:t>
      </w:r>
      <w:r w:rsidR="00C475D6" w:rsidRPr="002A3B44">
        <w:rPr>
          <w:rFonts w:ascii="Calibri" w:hAnsi="Calibri" w:cs="Calibri"/>
          <w:sz w:val="20"/>
          <w:szCs w:val="20"/>
        </w:rPr>
        <w:t>wartość waloryzacji liczy się od upływu 6 miesięcy od daty pierwszego okresu, dla którego może być ustalona wartość waloryzacji wynagrodzenia Wykonawcy, zwane dalej „okresy waloryzacyjne". Przez możliwość ustalenia podstaw waloryzacji rozumie się wyłącznie sposób oszacowania waloryzacji, nie zaś terminy do składania wniosku do Zamawiającego</w:t>
      </w:r>
      <w:r>
        <w:rPr>
          <w:rFonts w:ascii="Calibri" w:hAnsi="Calibri" w:cs="Calibri"/>
          <w:sz w:val="20"/>
          <w:szCs w:val="20"/>
        </w:rPr>
        <w:t>;</w:t>
      </w:r>
    </w:p>
    <w:p w14:paraId="6B3B6DDD" w14:textId="77777777" w:rsidR="002A3B44" w:rsidRDefault="002A3B44" w:rsidP="002A3B44">
      <w:pPr>
        <w:pStyle w:val="Akapitzlist"/>
        <w:rPr>
          <w:rFonts w:ascii="Calibri" w:hAnsi="Calibri" w:cs="Calibri"/>
          <w:sz w:val="20"/>
          <w:szCs w:val="20"/>
        </w:rPr>
      </w:pPr>
    </w:p>
    <w:p w14:paraId="0BF90204" w14:textId="64E117A4" w:rsidR="00C475D6" w:rsidRPr="002A3B44" w:rsidRDefault="002A3B44" w:rsidP="002A3B44">
      <w:pPr>
        <w:pStyle w:val="Bezodstpw"/>
        <w:numPr>
          <w:ilvl w:val="0"/>
          <w:numId w:val="25"/>
        </w:numPr>
        <w:jc w:val="both"/>
        <w:rPr>
          <w:rFonts w:ascii="Calibri" w:hAnsi="Calibri" w:cs="Calibri"/>
          <w:sz w:val="20"/>
          <w:szCs w:val="20"/>
        </w:rPr>
      </w:pPr>
      <w:r w:rsidRPr="002A3B44">
        <w:rPr>
          <w:rFonts w:ascii="Calibri" w:hAnsi="Calibri" w:cs="Calibri"/>
          <w:sz w:val="20"/>
          <w:szCs w:val="20"/>
        </w:rPr>
        <w:t>w</w:t>
      </w:r>
      <w:r w:rsidR="00C475D6" w:rsidRPr="002A3B44">
        <w:rPr>
          <w:rFonts w:ascii="Calibri" w:hAnsi="Calibri" w:cs="Calibri"/>
          <w:sz w:val="20"/>
          <w:szCs w:val="20"/>
        </w:rPr>
        <w:t xml:space="preserve">ykonawca uprawniony jest do złożenia, </w:t>
      </w:r>
      <w:r w:rsidR="00C475D6" w:rsidRPr="007D370F">
        <w:rPr>
          <w:rStyle w:val="TeksttreciPogrubienie"/>
        </w:rPr>
        <w:t xml:space="preserve">wniosku o waloryzację </w:t>
      </w:r>
      <w:r w:rsidR="00C475D6" w:rsidRPr="002A3B44">
        <w:rPr>
          <w:rFonts w:ascii="Calibri" w:hAnsi="Calibri" w:cs="Calibri"/>
          <w:sz w:val="20"/>
          <w:szCs w:val="20"/>
        </w:rPr>
        <w:t xml:space="preserve">wynagrodzenia, w terminie do </w:t>
      </w:r>
      <w:r w:rsidR="00C475D6" w:rsidRPr="007D370F">
        <w:rPr>
          <w:rStyle w:val="TeksttreciPogrubienie"/>
        </w:rPr>
        <w:t xml:space="preserve">30 dni po upływie </w:t>
      </w:r>
      <w:r w:rsidR="00C475D6" w:rsidRPr="002A3B44">
        <w:rPr>
          <w:rFonts w:ascii="Calibri" w:hAnsi="Calibri" w:cs="Calibri"/>
          <w:sz w:val="20"/>
          <w:szCs w:val="20"/>
        </w:rPr>
        <w:t>co najmniej dwóch okresów waloryzacyjnych. Wniosek winien wskazywać wartość wskaźnika z daty zawarcia umowy oraz z kolejnych okresów waloryzacyjnych, za które zgo</w:t>
      </w:r>
      <w:r w:rsidR="007D370F" w:rsidRPr="002A3B44">
        <w:rPr>
          <w:rFonts w:ascii="Calibri" w:hAnsi="Calibri" w:cs="Calibri"/>
          <w:sz w:val="20"/>
          <w:szCs w:val="20"/>
        </w:rPr>
        <w:t>dnie z umową może ubiegać się o </w:t>
      </w:r>
      <w:r w:rsidR="00C475D6" w:rsidRPr="002A3B44">
        <w:rPr>
          <w:rFonts w:ascii="Calibri" w:hAnsi="Calibri" w:cs="Calibri"/>
          <w:sz w:val="20"/>
          <w:szCs w:val="20"/>
        </w:rPr>
        <w:t>waloryzację wynagrodzenia, a także wartość wnioskowanej zmiany wynagrodzenia.</w:t>
      </w:r>
    </w:p>
    <w:p w14:paraId="6ACF0CB2" w14:textId="77777777" w:rsidR="00C475D6" w:rsidRPr="007D370F" w:rsidRDefault="00C475D6" w:rsidP="002A3B44">
      <w:pPr>
        <w:pStyle w:val="Akapitzlist"/>
        <w:rPr>
          <w:rFonts w:ascii="Calibri" w:hAnsi="Calibri" w:cs="Calibri"/>
          <w:sz w:val="20"/>
          <w:szCs w:val="20"/>
        </w:rPr>
      </w:pPr>
    </w:p>
    <w:p w14:paraId="2427002D" w14:textId="77777777" w:rsidR="00C475D6" w:rsidRPr="007D370F" w:rsidRDefault="00C475D6" w:rsidP="002A3B44">
      <w:pPr>
        <w:pStyle w:val="Bezodstpw"/>
        <w:ind w:left="720"/>
        <w:jc w:val="both"/>
        <w:rPr>
          <w:rFonts w:ascii="Calibri" w:hAnsi="Calibri" w:cs="Calibri"/>
          <w:sz w:val="20"/>
          <w:szCs w:val="20"/>
        </w:rPr>
      </w:pPr>
      <w:r w:rsidRPr="007D370F">
        <w:rPr>
          <w:rFonts w:ascii="Calibri" w:hAnsi="Calibri" w:cs="Calibri"/>
          <w:sz w:val="20"/>
          <w:szCs w:val="20"/>
        </w:rPr>
        <w:t>Do wniosku należy dołączyć:</w:t>
      </w:r>
    </w:p>
    <w:p w14:paraId="073E8D67" w14:textId="71121954" w:rsidR="00C475D6" w:rsidRPr="007D370F" w:rsidRDefault="00C475D6" w:rsidP="002A3B44">
      <w:pPr>
        <w:pStyle w:val="Bezodstpw"/>
        <w:numPr>
          <w:ilvl w:val="0"/>
          <w:numId w:val="26"/>
        </w:numPr>
        <w:jc w:val="both"/>
        <w:rPr>
          <w:rFonts w:ascii="Calibri" w:hAnsi="Calibri" w:cs="Calibri"/>
          <w:sz w:val="20"/>
          <w:szCs w:val="20"/>
        </w:rPr>
      </w:pPr>
      <w:r w:rsidRPr="007D370F">
        <w:rPr>
          <w:rFonts w:ascii="Calibri" w:hAnsi="Calibri" w:cs="Calibri"/>
          <w:sz w:val="20"/>
          <w:szCs w:val="20"/>
        </w:rPr>
        <w:t xml:space="preserve">wykaz faktur VAT wystawionych w ramach realizacji umowy za wykonane </w:t>
      </w:r>
      <w:r w:rsidR="00D94B5A">
        <w:rPr>
          <w:rFonts w:ascii="Calibri" w:hAnsi="Calibri" w:cs="Calibri"/>
          <w:sz w:val="20"/>
          <w:szCs w:val="20"/>
        </w:rPr>
        <w:t>(i odebrane przez</w:t>
      </w:r>
      <w:r w:rsidR="002A3B44">
        <w:rPr>
          <w:rFonts w:ascii="Calibri" w:hAnsi="Calibri" w:cs="Calibri"/>
          <w:sz w:val="20"/>
          <w:szCs w:val="20"/>
        </w:rPr>
        <w:t> </w:t>
      </w:r>
      <w:r w:rsidR="00D94B5A">
        <w:rPr>
          <w:rFonts w:ascii="Calibri" w:hAnsi="Calibri" w:cs="Calibri"/>
          <w:sz w:val="20"/>
          <w:szCs w:val="20"/>
        </w:rPr>
        <w:t xml:space="preserve">zamawiającego) </w:t>
      </w:r>
      <w:r w:rsidRPr="007D370F">
        <w:rPr>
          <w:rFonts w:ascii="Calibri" w:hAnsi="Calibri" w:cs="Calibri"/>
          <w:sz w:val="20"/>
          <w:szCs w:val="20"/>
        </w:rPr>
        <w:t>roboty budowlane w okresie waloryzacyjnym, zawierający m.in. datę wystawienia dokumentu FV, okres realizacji robót budowlanych za który wystawiono fakturę, kwoty netto z faktury oraz kwoty podlegające waloryzacji, które należy ustalić jako różnicę pomiędzy kwotą wynikającą z faktury a kwotą zafakturowanych w tej fakturze robót dodatkowych i zamiennych. Waloryzacja jest możliwa wyłącznie dla faktur VAT, które zostały wystawione za okres realizacji następujący po upływie 6 miesięcy od początkowego terminu;</w:t>
      </w:r>
    </w:p>
    <w:p w14:paraId="05C34DBC" w14:textId="219366FA" w:rsidR="00423CD9" w:rsidRDefault="00E5176A" w:rsidP="002A3B44">
      <w:pPr>
        <w:pStyle w:val="Bezodstpw"/>
        <w:numPr>
          <w:ilvl w:val="0"/>
          <w:numId w:val="26"/>
        </w:numPr>
        <w:jc w:val="both"/>
        <w:rPr>
          <w:rFonts w:ascii="Calibri" w:hAnsi="Calibri" w:cs="Calibri"/>
          <w:sz w:val="20"/>
          <w:szCs w:val="20"/>
        </w:rPr>
      </w:pPr>
      <w:r>
        <w:rPr>
          <w:rFonts w:ascii="Calibri" w:hAnsi="Calibri" w:cs="Calibri"/>
          <w:sz w:val="20"/>
          <w:szCs w:val="20"/>
        </w:rPr>
        <w:t>w</w:t>
      </w:r>
      <w:r w:rsidR="00C475D6" w:rsidRPr="007D370F">
        <w:rPr>
          <w:rFonts w:ascii="Calibri" w:hAnsi="Calibri" w:cs="Calibri"/>
          <w:sz w:val="20"/>
          <w:szCs w:val="20"/>
        </w:rPr>
        <w:t xml:space="preserve"> przypadku ostatniego okresu waloryzacyjnego, w którym Wykonawca dokonał zgłoszenia robót do odbioru końcowego - Wykonawca winien określić całkowitą wartość faktury końcowej netto, która winna wynikać z zatwierdzonego przez Zamawiającego rozliczenia powykonawczego netto pomniejszonego o łączną wartość wszystkich faktur netto; kwota podlegająca waloryzacji z tytułu przyszłej faktury końcowej należy ustalić jako różnicę pomiędzy kwotą wynikającą wartości netto przyszłej faktury końcowej a wartości netto robót dodatkowych i zamiennych, które będą ujęt</w:t>
      </w:r>
      <w:r w:rsidR="00423CD9" w:rsidRPr="007D370F">
        <w:rPr>
          <w:rFonts w:ascii="Calibri" w:hAnsi="Calibri" w:cs="Calibri"/>
          <w:sz w:val="20"/>
          <w:szCs w:val="20"/>
        </w:rPr>
        <w:t>e w tej fakturze. Do wyliczenia wskaźnika waloryzacj</w:t>
      </w:r>
      <w:r w:rsidR="002A3B44">
        <w:rPr>
          <w:rFonts w:ascii="Calibri" w:hAnsi="Calibri" w:cs="Calibri"/>
          <w:sz w:val="20"/>
          <w:szCs w:val="20"/>
        </w:rPr>
        <w:t>i</w:t>
      </w:r>
      <w:r w:rsidR="00423CD9" w:rsidRPr="007D370F">
        <w:rPr>
          <w:rFonts w:ascii="Calibri" w:hAnsi="Calibri" w:cs="Calibri"/>
          <w:sz w:val="20"/>
          <w:szCs w:val="20"/>
        </w:rPr>
        <w:t xml:space="preserve"> i przyszłej faktury końcowej należy stosować taką samą zasadę jak</w:t>
      </w:r>
      <w:r>
        <w:rPr>
          <w:rFonts w:ascii="Calibri" w:hAnsi="Calibri" w:cs="Calibri"/>
          <w:sz w:val="20"/>
          <w:szCs w:val="20"/>
        </w:rPr>
        <w:t> </w:t>
      </w:r>
      <w:r w:rsidR="00423CD9" w:rsidRPr="007D370F">
        <w:rPr>
          <w:rFonts w:ascii="Calibri" w:hAnsi="Calibri" w:cs="Calibri"/>
          <w:sz w:val="20"/>
          <w:szCs w:val="20"/>
        </w:rPr>
        <w:t>dla</w:t>
      </w:r>
      <w:r>
        <w:rPr>
          <w:rFonts w:ascii="Calibri" w:hAnsi="Calibri" w:cs="Calibri"/>
          <w:sz w:val="20"/>
          <w:szCs w:val="20"/>
        </w:rPr>
        <w:t> </w:t>
      </w:r>
      <w:r w:rsidR="00423CD9" w:rsidRPr="007D370F">
        <w:rPr>
          <w:rFonts w:ascii="Calibri" w:hAnsi="Calibri" w:cs="Calibri"/>
          <w:sz w:val="20"/>
          <w:szCs w:val="20"/>
        </w:rPr>
        <w:t>wystawionych faktur</w:t>
      </w:r>
      <w:r w:rsidR="002A3B44">
        <w:rPr>
          <w:rFonts w:ascii="Calibri" w:hAnsi="Calibri" w:cs="Calibri"/>
          <w:sz w:val="20"/>
          <w:szCs w:val="20"/>
        </w:rPr>
        <w:t>;</w:t>
      </w:r>
    </w:p>
    <w:p w14:paraId="022CFB02" w14:textId="77777777" w:rsidR="002A3B44" w:rsidRDefault="002A3B44" w:rsidP="002A3B44">
      <w:pPr>
        <w:pStyle w:val="Bezodstpw"/>
        <w:ind w:left="1440"/>
        <w:jc w:val="both"/>
        <w:rPr>
          <w:rFonts w:ascii="Calibri" w:hAnsi="Calibri" w:cs="Calibri"/>
          <w:sz w:val="20"/>
          <w:szCs w:val="20"/>
        </w:rPr>
      </w:pPr>
    </w:p>
    <w:p w14:paraId="6BC84AD1" w14:textId="3BDADC23" w:rsidR="002A3B44" w:rsidRPr="002A3B44" w:rsidRDefault="002A3B44" w:rsidP="002A3B44">
      <w:pPr>
        <w:pStyle w:val="Bezodstpw"/>
        <w:numPr>
          <w:ilvl w:val="0"/>
          <w:numId w:val="25"/>
        </w:numPr>
        <w:jc w:val="both"/>
        <w:rPr>
          <w:rFonts w:ascii="Calibri" w:hAnsi="Calibri" w:cs="Calibri"/>
          <w:sz w:val="20"/>
          <w:szCs w:val="20"/>
        </w:rPr>
      </w:pPr>
      <w:r w:rsidRPr="002A3B44">
        <w:rPr>
          <w:rFonts w:ascii="Calibri" w:hAnsi="Calibri" w:cs="Calibri"/>
          <w:sz w:val="20"/>
          <w:szCs w:val="20"/>
        </w:rPr>
        <w:t>jeżeli Zamawiający uzna, że wniosek Wykonawcy o zmianę wynagrodzenia jest niekompletny, zawiera braki lub jest niewystarczająco uzasadniony, wzywa Wykonawcę do uzupełnienia wniosku w</w:t>
      </w:r>
      <w:r w:rsidR="00E5176A">
        <w:rPr>
          <w:rFonts w:ascii="Calibri" w:hAnsi="Calibri" w:cs="Calibri"/>
          <w:sz w:val="20"/>
          <w:szCs w:val="20"/>
        </w:rPr>
        <w:t> </w:t>
      </w:r>
      <w:r w:rsidRPr="002A3B44">
        <w:rPr>
          <w:rFonts w:ascii="Calibri" w:hAnsi="Calibri" w:cs="Calibri"/>
          <w:sz w:val="20"/>
          <w:szCs w:val="20"/>
        </w:rPr>
        <w:t>wyznaczonym przez Zamawiającego terminie;</w:t>
      </w:r>
    </w:p>
    <w:p w14:paraId="51429798" w14:textId="676A0BC6" w:rsidR="007D370F" w:rsidRDefault="002A3B44" w:rsidP="002A3B44">
      <w:pPr>
        <w:pStyle w:val="Bezodstpw"/>
        <w:numPr>
          <w:ilvl w:val="0"/>
          <w:numId w:val="25"/>
        </w:numPr>
        <w:jc w:val="both"/>
        <w:rPr>
          <w:rFonts w:ascii="Calibri" w:hAnsi="Calibri" w:cs="Calibri"/>
          <w:sz w:val="20"/>
          <w:szCs w:val="20"/>
        </w:rPr>
      </w:pPr>
      <w:r>
        <w:rPr>
          <w:rFonts w:ascii="Calibri" w:hAnsi="Calibri" w:cs="Calibri"/>
          <w:sz w:val="20"/>
          <w:szCs w:val="20"/>
        </w:rPr>
        <w:lastRenderedPageBreak/>
        <w:t xml:space="preserve">wskaźnik waloryzacji </w:t>
      </w:r>
      <w:proofErr w:type="spellStart"/>
      <w:r>
        <w:rPr>
          <w:rFonts w:ascii="Calibri" w:hAnsi="Calibri" w:cs="Calibri"/>
          <w:sz w:val="20"/>
          <w:szCs w:val="20"/>
        </w:rPr>
        <w:t>Ww</w:t>
      </w:r>
      <w:proofErr w:type="spellEnd"/>
      <w:r>
        <w:rPr>
          <w:rFonts w:ascii="Calibri" w:hAnsi="Calibri" w:cs="Calibri"/>
          <w:sz w:val="20"/>
          <w:szCs w:val="20"/>
        </w:rPr>
        <w:t>(n) przez który należy każdorazowo przemnożyć kwotę podlegającą waloryzacji z danej faktury VAT za n-ty miesiąc wg miesiąca jej wystawienia, powstaje poprzez przemnożenie przez siebie wskaźników cen produkcji budowlano-montażowej dla kolejnych miesięcy począwszy od terminu początkowego (nie przewiduje się waloryzacji w pierwszych 6 miesiącach od terminu początkowego – w tym przypadku wskaźnik waloryzacyjny jest równy 100) do miesiąca za który nastąpi wystawienie faktury (miesiąc n-ty) wg poniższego wzoru:</w:t>
      </w:r>
    </w:p>
    <w:p w14:paraId="009BA79B" w14:textId="77777777" w:rsidR="002A3B44" w:rsidRPr="002A3B44" w:rsidRDefault="002A3B44" w:rsidP="002A3B44">
      <w:pPr>
        <w:pStyle w:val="Bezodstpw"/>
        <w:ind w:left="720"/>
        <w:jc w:val="both"/>
        <w:rPr>
          <w:rFonts w:ascii="Calibri" w:hAnsi="Calibri" w:cs="Calibri"/>
          <w:sz w:val="20"/>
          <w:szCs w:val="20"/>
        </w:rPr>
      </w:pPr>
    </w:p>
    <w:p w14:paraId="62AF85D7" w14:textId="6E79915D" w:rsidR="007D370F" w:rsidRPr="002A3B44" w:rsidRDefault="00527B67" w:rsidP="002A3B44">
      <w:pPr>
        <w:pStyle w:val="Bezodstpw"/>
        <w:jc w:val="center"/>
      </w:pPr>
      <w:r>
        <w:rPr>
          <w:noProof/>
        </w:rPr>
        <w:drawing>
          <wp:inline distT="0" distB="0" distL="0" distR="0" wp14:anchorId="72478B99" wp14:editId="0AF83E2D">
            <wp:extent cx="3607435" cy="532765"/>
            <wp:effectExtent l="0" t="0" r="0" b="635"/>
            <wp:docPr id="7076615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7435" cy="532765"/>
                    </a:xfrm>
                    <a:prstGeom prst="rect">
                      <a:avLst/>
                    </a:prstGeom>
                    <a:noFill/>
                    <a:ln>
                      <a:noFill/>
                    </a:ln>
                  </pic:spPr>
                </pic:pic>
              </a:graphicData>
            </a:graphic>
          </wp:inline>
        </w:drawing>
      </w:r>
    </w:p>
    <w:p w14:paraId="7AD6DB64" w14:textId="66B563E9" w:rsidR="007D370F" w:rsidRPr="007D370F" w:rsidRDefault="007D370F" w:rsidP="00E5176A">
      <w:pPr>
        <w:pStyle w:val="Bezodstpw"/>
        <w:ind w:firstLine="708"/>
        <w:jc w:val="both"/>
        <w:rPr>
          <w:rFonts w:asciiTheme="minorHAnsi" w:hAnsiTheme="minorHAnsi" w:cstheme="minorHAnsi"/>
          <w:sz w:val="20"/>
          <w:szCs w:val="20"/>
        </w:rPr>
      </w:pPr>
      <w:r w:rsidRPr="007D370F">
        <w:rPr>
          <w:rFonts w:asciiTheme="minorHAnsi" w:hAnsiTheme="minorHAnsi" w:cstheme="minorHAnsi"/>
          <w:sz w:val="20"/>
          <w:szCs w:val="20"/>
        </w:rPr>
        <w:t xml:space="preserve">gdzie: </w:t>
      </w:r>
    </w:p>
    <w:p w14:paraId="1FAB86AA" w14:textId="1D80C810" w:rsidR="007D370F" w:rsidRPr="007D370F" w:rsidRDefault="007D370F" w:rsidP="002A3B44">
      <w:pPr>
        <w:pStyle w:val="Bezodstpw"/>
        <w:ind w:firstLine="708"/>
        <w:jc w:val="both"/>
        <w:rPr>
          <w:rFonts w:asciiTheme="minorHAnsi" w:hAnsiTheme="minorHAnsi" w:cstheme="minorHAnsi"/>
          <w:sz w:val="20"/>
          <w:szCs w:val="20"/>
        </w:rPr>
      </w:pPr>
      <w:r w:rsidRPr="00E5176A">
        <w:rPr>
          <w:rFonts w:asciiTheme="minorHAnsi" w:hAnsiTheme="minorHAnsi" w:cstheme="minorHAnsi"/>
          <w:b/>
          <w:sz w:val="20"/>
          <w:szCs w:val="20"/>
        </w:rPr>
        <w:t>„W w(n)</w:t>
      </w:r>
      <w:r w:rsidR="00E5176A">
        <w:rPr>
          <w:rFonts w:asciiTheme="minorHAnsi" w:hAnsiTheme="minorHAnsi" w:cstheme="minorHAnsi"/>
          <w:b/>
          <w:sz w:val="20"/>
          <w:szCs w:val="20"/>
        </w:rPr>
        <w:t>”</w:t>
      </w:r>
      <w:r w:rsidR="00E5176A">
        <w:rPr>
          <w:rFonts w:asciiTheme="minorHAnsi" w:hAnsiTheme="minorHAnsi" w:cstheme="minorHAnsi"/>
          <w:b/>
          <w:sz w:val="20"/>
          <w:szCs w:val="20"/>
        </w:rPr>
        <w:tab/>
      </w:r>
      <w:r w:rsidR="00E5176A">
        <w:rPr>
          <w:rFonts w:asciiTheme="minorHAnsi" w:hAnsiTheme="minorHAnsi" w:cstheme="minorHAnsi"/>
          <w:sz w:val="20"/>
          <w:szCs w:val="20"/>
        </w:rPr>
        <w:t xml:space="preserve">– </w:t>
      </w:r>
      <w:r w:rsidR="00E5176A">
        <w:rPr>
          <w:rFonts w:asciiTheme="minorHAnsi" w:hAnsiTheme="minorHAnsi" w:cstheme="minorHAnsi"/>
          <w:sz w:val="20"/>
          <w:szCs w:val="20"/>
        </w:rPr>
        <w:tab/>
      </w:r>
      <w:r w:rsidRPr="007D370F">
        <w:rPr>
          <w:rFonts w:asciiTheme="minorHAnsi" w:hAnsiTheme="minorHAnsi" w:cstheme="minorHAnsi"/>
          <w:sz w:val="20"/>
          <w:szCs w:val="20"/>
        </w:rPr>
        <w:t xml:space="preserve">wskaźnik waloryzacji dla n-tego miesiąca; </w:t>
      </w:r>
    </w:p>
    <w:p w14:paraId="7BCA50ED" w14:textId="563C0AFF" w:rsidR="00E5176A" w:rsidRDefault="007D370F" w:rsidP="002A3B44">
      <w:pPr>
        <w:pStyle w:val="Bezodstpw"/>
        <w:ind w:left="2124" w:hanging="1410"/>
        <w:jc w:val="both"/>
        <w:rPr>
          <w:rFonts w:asciiTheme="minorHAnsi" w:hAnsiTheme="minorHAnsi" w:cstheme="minorHAnsi"/>
          <w:sz w:val="20"/>
          <w:szCs w:val="20"/>
        </w:rPr>
      </w:pPr>
      <w:r w:rsidRPr="007D370F">
        <w:rPr>
          <w:rFonts w:asciiTheme="minorHAnsi" w:hAnsiTheme="minorHAnsi" w:cstheme="minorHAnsi"/>
          <w:b/>
          <w:sz w:val="20"/>
          <w:szCs w:val="20"/>
        </w:rPr>
        <w:t>„a</w:t>
      </w:r>
      <w:r w:rsidR="00E5176A">
        <w:rPr>
          <w:rFonts w:asciiTheme="minorHAnsi" w:hAnsiTheme="minorHAnsi" w:cstheme="minorHAnsi"/>
          <w:b/>
          <w:sz w:val="20"/>
          <w:szCs w:val="20"/>
        </w:rPr>
        <w:t>”</w:t>
      </w:r>
      <w:r w:rsidR="00E5176A">
        <w:rPr>
          <w:rFonts w:asciiTheme="minorHAnsi" w:hAnsiTheme="minorHAnsi" w:cstheme="minorHAnsi"/>
          <w:b/>
          <w:sz w:val="20"/>
          <w:szCs w:val="20"/>
        </w:rPr>
        <w:tab/>
      </w:r>
      <w:r w:rsidR="00E5176A">
        <w:rPr>
          <w:rFonts w:asciiTheme="minorHAnsi" w:hAnsiTheme="minorHAnsi" w:cstheme="minorHAnsi"/>
          <w:sz w:val="20"/>
          <w:szCs w:val="20"/>
        </w:rPr>
        <w:t xml:space="preserve">– </w:t>
      </w:r>
      <w:r w:rsidR="00E5176A">
        <w:rPr>
          <w:rFonts w:asciiTheme="minorHAnsi" w:hAnsiTheme="minorHAnsi" w:cstheme="minorHAnsi"/>
          <w:sz w:val="20"/>
          <w:szCs w:val="20"/>
        </w:rPr>
        <w:tab/>
      </w:r>
      <w:r w:rsidRPr="007D370F">
        <w:rPr>
          <w:rFonts w:asciiTheme="minorHAnsi" w:hAnsiTheme="minorHAnsi" w:cstheme="minorHAnsi"/>
          <w:sz w:val="20"/>
          <w:szCs w:val="20"/>
        </w:rPr>
        <w:t xml:space="preserve">stały współczynnik o wartości 0,5 obrazujący część wynagrodzenia, które nie </w:t>
      </w:r>
    </w:p>
    <w:p w14:paraId="1259F191" w14:textId="3DC64EB7" w:rsidR="007D370F" w:rsidRPr="007D370F" w:rsidRDefault="00E5176A" w:rsidP="002A3B44">
      <w:pPr>
        <w:pStyle w:val="Bezodstpw"/>
        <w:ind w:left="2124" w:hanging="1410"/>
        <w:jc w:val="both"/>
        <w:rPr>
          <w:rFonts w:asciiTheme="minorHAnsi" w:hAnsiTheme="minorHAnsi" w:cstheme="minorHAnsi"/>
          <w:sz w:val="20"/>
          <w:szCs w:val="20"/>
        </w:rPr>
      </w:pPr>
      <w:r>
        <w:rPr>
          <w:rFonts w:asciiTheme="minorHAnsi" w:hAnsiTheme="minorHAnsi" w:cstheme="minorHAnsi"/>
          <w:b/>
          <w:sz w:val="20"/>
          <w:szCs w:val="20"/>
        </w:rPr>
        <w:t xml:space="preserve">                                               </w:t>
      </w:r>
      <w:r w:rsidR="007D370F" w:rsidRPr="007D370F">
        <w:rPr>
          <w:rFonts w:asciiTheme="minorHAnsi" w:hAnsiTheme="minorHAnsi" w:cstheme="minorHAnsi"/>
          <w:sz w:val="20"/>
          <w:szCs w:val="20"/>
        </w:rPr>
        <w:t xml:space="preserve">podlega waloryzacji (element niewaloryzowany). </w:t>
      </w:r>
    </w:p>
    <w:p w14:paraId="1F94F7EF" w14:textId="7BC69BA4" w:rsidR="007D370F" w:rsidRPr="007D370F" w:rsidRDefault="007D370F" w:rsidP="002A3B44">
      <w:pPr>
        <w:pStyle w:val="Bezodstpw"/>
        <w:ind w:firstLine="708"/>
        <w:jc w:val="both"/>
        <w:rPr>
          <w:rFonts w:asciiTheme="minorHAnsi" w:hAnsiTheme="minorHAnsi" w:cstheme="minorHAnsi"/>
          <w:sz w:val="20"/>
          <w:szCs w:val="20"/>
        </w:rPr>
      </w:pPr>
      <w:r w:rsidRPr="007D370F">
        <w:rPr>
          <w:rFonts w:asciiTheme="minorHAnsi" w:hAnsiTheme="minorHAnsi" w:cstheme="minorHAnsi"/>
          <w:b/>
          <w:sz w:val="20"/>
          <w:szCs w:val="20"/>
        </w:rPr>
        <w:t>„W</w:t>
      </w:r>
      <w:r w:rsidRPr="007D370F">
        <w:rPr>
          <w:rFonts w:asciiTheme="minorHAnsi" w:hAnsiTheme="minorHAnsi" w:cstheme="minorHAnsi"/>
          <w:b/>
          <w:sz w:val="20"/>
          <w:szCs w:val="20"/>
          <w:vertAlign w:val="subscript"/>
        </w:rPr>
        <w:t>0</w:t>
      </w:r>
      <w:r w:rsidR="00E5176A">
        <w:rPr>
          <w:rFonts w:asciiTheme="minorHAnsi" w:hAnsiTheme="minorHAnsi" w:cstheme="minorHAnsi"/>
          <w:b/>
          <w:sz w:val="20"/>
          <w:szCs w:val="20"/>
        </w:rPr>
        <w:t xml:space="preserve">” </w:t>
      </w:r>
      <w:r w:rsidR="00E5176A">
        <w:rPr>
          <w:rFonts w:asciiTheme="minorHAnsi" w:hAnsiTheme="minorHAnsi" w:cstheme="minorHAnsi"/>
          <w:b/>
          <w:sz w:val="20"/>
          <w:szCs w:val="20"/>
        </w:rPr>
        <w:tab/>
      </w:r>
      <w:r w:rsidR="00E5176A">
        <w:rPr>
          <w:rFonts w:asciiTheme="minorHAnsi" w:hAnsiTheme="minorHAnsi" w:cstheme="minorHAnsi"/>
          <w:b/>
          <w:sz w:val="20"/>
          <w:szCs w:val="20"/>
        </w:rPr>
        <w:tab/>
      </w:r>
      <w:r w:rsidR="00E5176A">
        <w:rPr>
          <w:rFonts w:asciiTheme="minorHAnsi" w:hAnsiTheme="minorHAnsi" w:cstheme="minorHAnsi"/>
          <w:sz w:val="20"/>
          <w:szCs w:val="20"/>
        </w:rPr>
        <w:t xml:space="preserve">– </w:t>
      </w:r>
      <w:r w:rsidR="00E5176A">
        <w:rPr>
          <w:rFonts w:asciiTheme="minorHAnsi" w:hAnsiTheme="minorHAnsi" w:cstheme="minorHAnsi"/>
          <w:sz w:val="20"/>
          <w:szCs w:val="20"/>
        </w:rPr>
        <w:tab/>
      </w:r>
      <w:r w:rsidRPr="007D370F">
        <w:rPr>
          <w:rFonts w:asciiTheme="minorHAnsi" w:hAnsiTheme="minorHAnsi" w:cstheme="minorHAnsi"/>
          <w:sz w:val="20"/>
          <w:szCs w:val="20"/>
        </w:rPr>
        <w:t xml:space="preserve">wskaźnik „0” z daty zawarcia umowy </w:t>
      </w:r>
    </w:p>
    <w:p w14:paraId="7FF399C8" w14:textId="77777777" w:rsidR="00E5176A" w:rsidRDefault="007D370F" w:rsidP="002A3B44">
      <w:pPr>
        <w:pStyle w:val="Bezodstpw"/>
        <w:ind w:left="2118" w:hanging="1410"/>
        <w:jc w:val="both"/>
        <w:rPr>
          <w:rFonts w:asciiTheme="minorHAnsi" w:hAnsiTheme="minorHAnsi" w:cstheme="minorHAnsi"/>
          <w:sz w:val="20"/>
          <w:szCs w:val="20"/>
        </w:rPr>
      </w:pPr>
      <w:r w:rsidRPr="007D370F">
        <w:rPr>
          <w:rFonts w:asciiTheme="minorHAnsi" w:hAnsiTheme="minorHAnsi" w:cstheme="minorHAnsi"/>
          <w:b/>
          <w:sz w:val="20"/>
          <w:szCs w:val="20"/>
        </w:rPr>
        <w:t>„W</w:t>
      </w:r>
      <w:r w:rsidRPr="007D370F">
        <w:rPr>
          <w:rFonts w:asciiTheme="minorHAnsi" w:hAnsiTheme="minorHAnsi" w:cstheme="minorHAnsi"/>
          <w:b/>
          <w:sz w:val="20"/>
          <w:szCs w:val="20"/>
          <w:vertAlign w:val="subscript"/>
        </w:rPr>
        <w:t>1</w:t>
      </w:r>
      <w:r w:rsidRPr="007D370F">
        <w:rPr>
          <w:rFonts w:asciiTheme="minorHAnsi" w:hAnsiTheme="minorHAnsi" w:cstheme="minorHAnsi"/>
          <w:b/>
          <w:sz w:val="20"/>
          <w:szCs w:val="20"/>
        </w:rPr>
        <w:t>"</w:t>
      </w:r>
      <w:r w:rsidRPr="007D370F">
        <w:rPr>
          <w:rFonts w:asciiTheme="minorHAnsi" w:hAnsiTheme="minorHAnsi" w:cstheme="minorHAnsi"/>
          <w:sz w:val="20"/>
          <w:szCs w:val="20"/>
        </w:rPr>
        <w:t xml:space="preserve"> do </w:t>
      </w:r>
      <w:r w:rsidRPr="007D370F">
        <w:rPr>
          <w:rFonts w:asciiTheme="minorHAnsi" w:hAnsiTheme="minorHAnsi" w:cstheme="minorHAnsi"/>
          <w:b/>
          <w:sz w:val="20"/>
          <w:szCs w:val="20"/>
        </w:rPr>
        <w:t>„W</w:t>
      </w:r>
      <w:r w:rsidRPr="007D370F">
        <w:rPr>
          <w:rFonts w:asciiTheme="minorHAnsi" w:hAnsiTheme="minorHAnsi" w:cstheme="minorHAnsi"/>
          <w:b/>
          <w:sz w:val="20"/>
          <w:szCs w:val="20"/>
          <w:vertAlign w:val="subscript"/>
        </w:rPr>
        <w:t>6</w:t>
      </w:r>
      <w:r w:rsidRPr="007D370F">
        <w:rPr>
          <w:rFonts w:asciiTheme="minorHAnsi" w:hAnsiTheme="minorHAnsi" w:cstheme="minorHAnsi"/>
          <w:b/>
          <w:sz w:val="20"/>
          <w:szCs w:val="20"/>
        </w:rPr>
        <w:t>”</w:t>
      </w:r>
      <w:r w:rsidR="00E5176A" w:rsidRPr="00E5176A">
        <w:rPr>
          <w:rFonts w:asciiTheme="minorHAnsi" w:hAnsiTheme="minorHAnsi" w:cstheme="minorHAnsi"/>
          <w:sz w:val="20"/>
          <w:szCs w:val="20"/>
        </w:rPr>
        <w:t xml:space="preserve"> </w:t>
      </w:r>
      <w:r w:rsidR="00E5176A">
        <w:rPr>
          <w:rFonts w:asciiTheme="minorHAnsi" w:hAnsiTheme="minorHAnsi" w:cstheme="minorHAnsi"/>
          <w:sz w:val="20"/>
          <w:szCs w:val="20"/>
        </w:rPr>
        <w:tab/>
        <w:t>–</w:t>
      </w:r>
      <w:r w:rsidR="00E5176A">
        <w:rPr>
          <w:rFonts w:asciiTheme="minorHAnsi" w:hAnsiTheme="minorHAnsi" w:cstheme="minorHAnsi"/>
          <w:b/>
          <w:sz w:val="20"/>
          <w:szCs w:val="20"/>
        </w:rPr>
        <w:tab/>
      </w:r>
      <w:r w:rsidRPr="007D370F">
        <w:rPr>
          <w:rFonts w:asciiTheme="minorHAnsi" w:hAnsiTheme="minorHAnsi" w:cstheme="minorHAnsi"/>
          <w:sz w:val="20"/>
          <w:szCs w:val="20"/>
        </w:rPr>
        <w:t xml:space="preserve">wskaźnik „1”÷„6” dla pierwszych 6 miesięcy licząc od daty zawarcia umowy </w:t>
      </w:r>
    </w:p>
    <w:p w14:paraId="30F83E67" w14:textId="01576268" w:rsidR="007D370F" w:rsidRPr="007D370F" w:rsidRDefault="00E5176A" w:rsidP="002A3B44">
      <w:pPr>
        <w:pStyle w:val="Bezodstpw"/>
        <w:ind w:left="2118" w:hanging="1410"/>
        <w:jc w:val="both"/>
        <w:rPr>
          <w:rFonts w:asciiTheme="minorHAnsi" w:hAnsiTheme="minorHAnsi" w:cstheme="minorHAnsi"/>
          <w:sz w:val="20"/>
          <w:szCs w:val="20"/>
        </w:rPr>
      </w:pPr>
      <w:r>
        <w:rPr>
          <w:rFonts w:asciiTheme="minorHAnsi" w:hAnsiTheme="minorHAnsi" w:cstheme="minorHAnsi"/>
          <w:b/>
          <w:sz w:val="20"/>
          <w:szCs w:val="20"/>
        </w:rPr>
        <w:t xml:space="preserve">                                               </w:t>
      </w:r>
      <w:r w:rsidR="007D370F" w:rsidRPr="007D370F">
        <w:rPr>
          <w:rFonts w:asciiTheme="minorHAnsi" w:hAnsiTheme="minorHAnsi" w:cstheme="minorHAnsi"/>
          <w:sz w:val="20"/>
          <w:szCs w:val="20"/>
        </w:rPr>
        <w:t xml:space="preserve">(wskaźniki cen produkcji budowlano-montażowej = 100 dla każdego miesiąca) </w:t>
      </w:r>
    </w:p>
    <w:p w14:paraId="55C0016B" w14:textId="587EC222" w:rsidR="00E5176A" w:rsidRDefault="007D370F" w:rsidP="002A3B44">
      <w:pPr>
        <w:pStyle w:val="Bezodstpw"/>
        <w:ind w:left="2118" w:hanging="1410"/>
        <w:jc w:val="both"/>
        <w:rPr>
          <w:rFonts w:asciiTheme="minorHAnsi" w:hAnsiTheme="minorHAnsi" w:cstheme="minorHAnsi"/>
          <w:sz w:val="20"/>
          <w:szCs w:val="20"/>
        </w:rPr>
      </w:pPr>
      <w:r w:rsidRPr="007D370F">
        <w:rPr>
          <w:rFonts w:asciiTheme="minorHAnsi" w:hAnsiTheme="minorHAnsi" w:cstheme="minorHAnsi"/>
          <w:b/>
          <w:sz w:val="20"/>
          <w:szCs w:val="20"/>
        </w:rPr>
        <w:t>„W</w:t>
      </w:r>
      <w:r w:rsidRPr="007D370F">
        <w:rPr>
          <w:rFonts w:asciiTheme="minorHAnsi" w:hAnsiTheme="minorHAnsi" w:cstheme="minorHAnsi"/>
          <w:b/>
          <w:sz w:val="20"/>
          <w:szCs w:val="20"/>
          <w:vertAlign w:val="subscript"/>
        </w:rPr>
        <w:t>7</w:t>
      </w:r>
      <w:r w:rsidRPr="007D370F">
        <w:rPr>
          <w:rFonts w:asciiTheme="minorHAnsi" w:hAnsiTheme="minorHAnsi" w:cstheme="minorHAnsi"/>
          <w:b/>
          <w:sz w:val="20"/>
          <w:szCs w:val="20"/>
        </w:rPr>
        <w:t>”</w:t>
      </w:r>
      <w:r w:rsidRPr="007D370F">
        <w:rPr>
          <w:rFonts w:asciiTheme="minorHAnsi" w:hAnsiTheme="minorHAnsi" w:cstheme="minorHAnsi"/>
          <w:sz w:val="20"/>
          <w:szCs w:val="20"/>
        </w:rPr>
        <w:t xml:space="preserve">, </w:t>
      </w:r>
      <w:r w:rsidRPr="007D370F">
        <w:rPr>
          <w:rFonts w:asciiTheme="minorHAnsi" w:hAnsiTheme="minorHAnsi" w:cstheme="minorHAnsi"/>
          <w:b/>
          <w:sz w:val="20"/>
          <w:szCs w:val="20"/>
        </w:rPr>
        <w:t>„W</w:t>
      </w:r>
      <w:r w:rsidRPr="007D370F">
        <w:rPr>
          <w:rFonts w:asciiTheme="minorHAnsi" w:hAnsiTheme="minorHAnsi" w:cstheme="minorHAnsi"/>
          <w:b/>
          <w:sz w:val="20"/>
          <w:szCs w:val="20"/>
          <w:vertAlign w:val="subscript"/>
        </w:rPr>
        <w:t>8</w:t>
      </w:r>
      <w:r w:rsidR="00E5176A">
        <w:rPr>
          <w:rFonts w:asciiTheme="minorHAnsi" w:hAnsiTheme="minorHAnsi" w:cstheme="minorHAnsi"/>
          <w:b/>
          <w:sz w:val="20"/>
          <w:szCs w:val="20"/>
        </w:rPr>
        <w:t xml:space="preserve">” </w:t>
      </w:r>
      <w:r w:rsidR="00E5176A">
        <w:rPr>
          <w:rFonts w:asciiTheme="minorHAnsi" w:hAnsiTheme="minorHAnsi" w:cstheme="minorHAnsi"/>
          <w:b/>
          <w:sz w:val="20"/>
          <w:szCs w:val="20"/>
        </w:rPr>
        <w:tab/>
      </w:r>
      <w:r w:rsidR="00E5176A">
        <w:rPr>
          <w:rFonts w:asciiTheme="minorHAnsi" w:hAnsiTheme="minorHAnsi" w:cstheme="minorHAnsi"/>
          <w:sz w:val="20"/>
          <w:szCs w:val="20"/>
        </w:rPr>
        <w:t>–</w:t>
      </w:r>
      <w:r w:rsidR="00E5176A">
        <w:rPr>
          <w:rFonts w:asciiTheme="minorHAnsi" w:hAnsiTheme="minorHAnsi" w:cstheme="minorHAnsi"/>
          <w:b/>
          <w:sz w:val="20"/>
          <w:szCs w:val="20"/>
        </w:rPr>
        <w:t xml:space="preserve"> </w:t>
      </w:r>
      <w:r w:rsidR="00E5176A">
        <w:rPr>
          <w:rFonts w:asciiTheme="minorHAnsi" w:hAnsiTheme="minorHAnsi" w:cstheme="minorHAnsi"/>
          <w:b/>
          <w:sz w:val="20"/>
          <w:szCs w:val="20"/>
        </w:rPr>
        <w:tab/>
      </w:r>
      <w:r w:rsidRPr="007D370F">
        <w:rPr>
          <w:rFonts w:asciiTheme="minorHAnsi" w:hAnsiTheme="minorHAnsi" w:cstheme="minorHAnsi"/>
          <w:sz w:val="20"/>
          <w:szCs w:val="20"/>
        </w:rPr>
        <w:t xml:space="preserve">wskaźniki „7”, „8”, ... dla kolejnych miesięcy po upływie 6 miesięcy od daty </w:t>
      </w:r>
    </w:p>
    <w:p w14:paraId="1ABAF4A9" w14:textId="77777777" w:rsidR="00E5176A" w:rsidRDefault="00E5176A" w:rsidP="002A3B44">
      <w:pPr>
        <w:pStyle w:val="Bezodstpw"/>
        <w:ind w:left="2118" w:hanging="1410"/>
        <w:jc w:val="both"/>
        <w:rPr>
          <w:rFonts w:asciiTheme="minorHAnsi" w:hAnsiTheme="minorHAnsi" w:cstheme="minorHAnsi"/>
          <w:sz w:val="20"/>
          <w:szCs w:val="20"/>
        </w:rPr>
      </w:pPr>
      <w:r>
        <w:rPr>
          <w:rFonts w:asciiTheme="minorHAnsi" w:hAnsiTheme="minorHAnsi" w:cstheme="minorHAnsi"/>
          <w:b/>
          <w:sz w:val="20"/>
          <w:szCs w:val="20"/>
        </w:rPr>
        <w:t xml:space="preserve">                                               </w:t>
      </w:r>
      <w:r w:rsidR="007D370F" w:rsidRPr="007D370F">
        <w:rPr>
          <w:rFonts w:asciiTheme="minorHAnsi" w:hAnsiTheme="minorHAnsi" w:cstheme="minorHAnsi"/>
          <w:sz w:val="20"/>
          <w:szCs w:val="20"/>
        </w:rPr>
        <w:t xml:space="preserve">zawarcia umowy (wskaźniki cen produkcji budowlano-montażowej </w:t>
      </w:r>
      <w:r>
        <w:rPr>
          <w:rFonts w:asciiTheme="minorHAnsi" w:hAnsiTheme="minorHAnsi" w:cstheme="minorHAnsi"/>
          <w:sz w:val="20"/>
          <w:szCs w:val="20"/>
        </w:rPr>
        <w:t xml:space="preserve"> </w:t>
      </w:r>
    </w:p>
    <w:p w14:paraId="04621F2D" w14:textId="77777777" w:rsidR="00E5176A" w:rsidRDefault="00E5176A" w:rsidP="002A3B44">
      <w:pPr>
        <w:pStyle w:val="Bezodstpw"/>
        <w:ind w:left="2118" w:hanging="1410"/>
        <w:jc w:val="both"/>
        <w:rPr>
          <w:rFonts w:asciiTheme="minorHAnsi" w:hAnsiTheme="minorHAnsi" w:cstheme="minorHAnsi"/>
          <w:sz w:val="20"/>
          <w:szCs w:val="20"/>
        </w:rPr>
      </w:pPr>
      <w:r>
        <w:rPr>
          <w:rFonts w:asciiTheme="minorHAnsi" w:hAnsiTheme="minorHAnsi" w:cstheme="minorHAnsi"/>
          <w:sz w:val="20"/>
          <w:szCs w:val="20"/>
        </w:rPr>
        <w:t xml:space="preserve">                                               </w:t>
      </w:r>
      <w:r w:rsidR="007D370F" w:rsidRPr="007D370F">
        <w:rPr>
          <w:rFonts w:asciiTheme="minorHAnsi" w:hAnsiTheme="minorHAnsi" w:cstheme="minorHAnsi"/>
          <w:sz w:val="20"/>
          <w:szCs w:val="20"/>
        </w:rPr>
        <w:t xml:space="preserve">publikowane przez GUS, w układzie miesiąc poprzedni = 100 dla każdego </w:t>
      </w:r>
    </w:p>
    <w:p w14:paraId="3E7EC032" w14:textId="621F5F2B" w:rsidR="007D370F" w:rsidRPr="007D370F" w:rsidRDefault="00E5176A" w:rsidP="002A3B44">
      <w:pPr>
        <w:pStyle w:val="Bezodstpw"/>
        <w:ind w:left="2118" w:hanging="1410"/>
        <w:jc w:val="both"/>
        <w:rPr>
          <w:rFonts w:asciiTheme="minorHAnsi" w:hAnsiTheme="minorHAnsi" w:cstheme="minorHAnsi"/>
          <w:sz w:val="20"/>
          <w:szCs w:val="20"/>
        </w:rPr>
      </w:pPr>
      <w:r>
        <w:rPr>
          <w:rFonts w:asciiTheme="minorHAnsi" w:hAnsiTheme="minorHAnsi" w:cstheme="minorHAnsi"/>
          <w:sz w:val="20"/>
          <w:szCs w:val="20"/>
        </w:rPr>
        <w:t xml:space="preserve">                                               </w:t>
      </w:r>
      <w:r w:rsidR="007D370F" w:rsidRPr="007D370F">
        <w:rPr>
          <w:rFonts w:asciiTheme="minorHAnsi" w:hAnsiTheme="minorHAnsi" w:cstheme="minorHAnsi"/>
          <w:sz w:val="20"/>
          <w:szCs w:val="20"/>
        </w:rPr>
        <w:t xml:space="preserve">miesiąca) , </w:t>
      </w:r>
    </w:p>
    <w:p w14:paraId="1552A72F" w14:textId="77777777" w:rsidR="00E5176A" w:rsidRDefault="007D370F" w:rsidP="002A3B44">
      <w:pPr>
        <w:pStyle w:val="Bezodstpw"/>
        <w:ind w:left="2118" w:hanging="1410"/>
        <w:jc w:val="both"/>
        <w:rPr>
          <w:rFonts w:asciiTheme="minorHAnsi" w:hAnsiTheme="minorHAnsi" w:cstheme="minorHAnsi"/>
          <w:sz w:val="20"/>
          <w:szCs w:val="20"/>
        </w:rPr>
      </w:pPr>
      <w:r w:rsidRPr="007D370F">
        <w:rPr>
          <w:rFonts w:asciiTheme="minorHAnsi" w:hAnsiTheme="minorHAnsi" w:cstheme="minorHAnsi"/>
          <w:b/>
          <w:sz w:val="20"/>
          <w:szCs w:val="20"/>
        </w:rPr>
        <w:t>W</w:t>
      </w:r>
      <w:r w:rsidRPr="007D370F">
        <w:rPr>
          <w:rFonts w:asciiTheme="minorHAnsi" w:hAnsiTheme="minorHAnsi" w:cstheme="minorHAnsi"/>
          <w:b/>
          <w:sz w:val="20"/>
          <w:szCs w:val="20"/>
          <w:vertAlign w:val="subscript"/>
        </w:rPr>
        <w:t>n-1</w:t>
      </w:r>
      <w:r w:rsidR="00E5176A">
        <w:rPr>
          <w:rFonts w:asciiTheme="minorHAnsi" w:hAnsiTheme="minorHAnsi" w:cstheme="minorHAnsi"/>
          <w:b/>
          <w:sz w:val="20"/>
          <w:szCs w:val="20"/>
          <w:vertAlign w:val="subscript"/>
        </w:rPr>
        <w:t xml:space="preserve"> </w:t>
      </w:r>
      <w:r w:rsidR="00E5176A">
        <w:rPr>
          <w:rFonts w:asciiTheme="minorHAnsi" w:hAnsiTheme="minorHAnsi" w:cstheme="minorHAnsi"/>
          <w:b/>
          <w:sz w:val="20"/>
          <w:szCs w:val="20"/>
          <w:vertAlign w:val="subscript"/>
        </w:rPr>
        <w:tab/>
      </w:r>
      <w:r w:rsidR="00E5176A">
        <w:rPr>
          <w:rFonts w:asciiTheme="minorHAnsi" w:hAnsiTheme="minorHAnsi" w:cstheme="minorHAnsi"/>
          <w:sz w:val="20"/>
          <w:szCs w:val="20"/>
        </w:rPr>
        <w:t>–</w:t>
      </w:r>
      <w:r w:rsidR="00E5176A">
        <w:rPr>
          <w:rFonts w:asciiTheme="minorHAnsi" w:hAnsiTheme="minorHAnsi" w:cstheme="minorHAnsi"/>
          <w:sz w:val="20"/>
          <w:szCs w:val="20"/>
          <w:vertAlign w:val="subscript"/>
        </w:rPr>
        <w:t xml:space="preserve"> </w:t>
      </w:r>
      <w:r w:rsidR="00E5176A">
        <w:rPr>
          <w:rFonts w:asciiTheme="minorHAnsi" w:hAnsiTheme="minorHAnsi" w:cstheme="minorHAnsi"/>
          <w:sz w:val="20"/>
          <w:szCs w:val="20"/>
          <w:vertAlign w:val="subscript"/>
        </w:rPr>
        <w:tab/>
      </w:r>
      <w:r w:rsidRPr="007D370F">
        <w:rPr>
          <w:rFonts w:asciiTheme="minorHAnsi" w:hAnsiTheme="minorHAnsi" w:cstheme="minorHAnsi"/>
          <w:sz w:val="20"/>
          <w:szCs w:val="20"/>
        </w:rPr>
        <w:t xml:space="preserve">wskaźnik „n-1” z miesiąca poprzedzającego miesiąc za który nastąpi </w:t>
      </w:r>
    </w:p>
    <w:p w14:paraId="24B4B379" w14:textId="6892F1FA" w:rsidR="00E5176A" w:rsidRDefault="00E5176A" w:rsidP="002A3B44">
      <w:pPr>
        <w:pStyle w:val="Bezodstpw"/>
        <w:ind w:left="2118" w:hanging="1410"/>
        <w:jc w:val="both"/>
        <w:rPr>
          <w:rFonts w:asciiTheme="minorHAnsi" w:hAnsiTheme="minorHAnsi" w:cstheme="minorHAnsi"/>
          <w:sz w:val="20"/>
          <w:szCs w:val="20"/>
        </w:rPr>
      </w:pPr>
      <w:r>
        <w:rPr>
          <w:rFonts w:asciiTheme="minorHAnsi" w:hAnsiTheme="minorHAnsi" w:cstheme="minorHAnsi"/>
          <w:b/>
          <w:sz w:val="20"/>
          <w:szCs w:val="20"/>
        </w:rPr>
        <w:t xml:space="preserve">                                               </w:t>
      </w:r>
      <w:r w:rsidR="007D370F" w:rsidRPr="007D370F">
        <w:rPr>
          <w:rFonts w:asciiTheme="minorHAnsi" w:hAnsiTheme="minorHAnsi" w:cstheme="minorHAnsi"/>
          <w:sz w:val="20"/>
          <w:szCs w:val="20"/>
        </w:rPr>
        <w:t>wystawienie faktury (wskaźnik cen produkcji budowlano-montażowej</w:t>
      </w:r>
      <w:r>
        <w:rPr>
          <w:rFonts w:asciiTheme="minorHAnsi" w:hAnsiTheme="minorHAnsi" w:cstheme="minorHAnsi"/>
          <w:sz w:val="20"/>
          <w:szCs w:val="20"/>
        </w:rPr>
        <w:t xml:space="preserve">  </w:t>
      </w:r>
    </w:p>
    <w:p w14:paraId="1FA022A5" w14:textId="5BA7A1E9" w:rsidR="007D370F" w:rsidRDefault="00E5176A" w:rsidP="002A3B44">
      <w:pPr>
        <w:pStyle w:val="Bezodstpw"/>
        <w:ind w:left="2118" w:hanging="1410"/>
        <w:jc w:val="both"/>
        <w:rPr>
          <w:rFonts w:asciiTheme="minorHAnsi" w:hAnsiTheme="minorHAnsi" w:cstheme="minorHAnsi"/>
          <w:sz w:val="20"/>
          <w:szCs w:val="20"/>
        </w:rPr>
      </w:pPr>
      <w:r>
        <w:rPr>
          <w:rFonts w:asciiTheme="minorHAnsi" w:hAnsiTheme="minorHAnsi" w:cstheme="minorHAnsi"/>
          <w:sz w:val="20"/>
          <w:szCs w:val="20"/>
        </w:rPr>
        <w:t xml:space="preserve">                                               </w:t>
      </w:r>
      <w:r w:rsidR="007D370F" w:rsidRPr="007D370F">
        <w:rPr>
          <w:rFonts w:asciiTheme="minorHAnsi" w:hAnsiTheme="minorHAnsi" w:cstheme="minorHAnsi"/>
          <w:sz w:val="20"/>
          <w:szCs w:val="20"/>
        </w:rPr>
        <w:t>publikowany przez GUS, w uk</w:t>
      </w:r>
      <w:r w:rsidR="007D370F">
        <w:rPr>
          <w:rFonts w:asciiTheme="minorHAnsi" w:hAnsiTheme="minorHAnsi" w:cstheme="minorHAnsi"/>
          <w:sz w:val="20"/>
          <w:szCs w:val="20"/>
        </w:rPr>
        <w:t>ładzie miesiąc poprzedni = 100)</w:t>
      </w:r>
    </w:p>
    <w:p w14:paraId="696B0AF5" w14:textId="77777777" w:rsidR="00E5176A" w:rsidRDefault="007D370F" w:rsidP="002A3B44">
      <w:pPr>
        <w:pStyle w:val="Bezodstpw"/>
        <w:ind w:left="2118" w:hanging="1410"/>
        <w:jc w:val="both"/>
        <w:rPr>
          <w:rFonts w:asciiTheme="minorHAnsi" w:hAnsiTheme="minorHAnsi" w:cstheme="minorHAnsi"/>
          <w:sz w:val="20"/>
          <w:szCs w:val="20"/>
        </w:rPr>
      </w:pPr>
      <w:r w:rsidRPr="007D370F">
        <w:rPr>
          <w:rFonts w:asciiTheme="minorHAnsi" w:hAnsiTheme="minorHAnsi" w:cstheme="minorHAnsi"/>
          <w:b/>
          <w:sz w:val="20"/>
          <w:szCs w:val="20"/>
        </w:rPr>
        <w:t>„</w:t>
      </w:r>
      <w:proofErr w:type="spellStart"/>
      <w:r w:rsidRPr="007D370F">
        <w:rPr>
          <w:rFonts w:asciiTheme="minorHAnsi" w:hAnsiTheme="minorHAnsi" w:cstheme="minorHAnsi"/>
          <w:b/>
          <w:sz w:val="20"/>
          <w:szCs w:val="20"/>
        </w:rPr>
        <w:t>Wn</w:t>
      </w:r>
      <w:proofErr w:type="spellEnd"/>
      <w:r w:rsidR="00E5176A">
        <w:rPr>
          <w:rFonts w:asciiTheme="minorHAnsi" w:hAnsiTheme="minorHAnsi" w:cstheme="minorHAnsi"/>
          <w:b/>
          <w:sz w:val="20"/>
          <w:szCs w:val="20"/>
        </w:rPr>
        <w:t>”</w:t>
      </w:r>
      <w:r w:rsidR="00E5176A">
        <w:rPr>
          <w:rFonts w:asciiTheme="minorHAnsi" w:hAnsiTheme="minorHAnsi" w:cstheme="minorHAnsi"/>
          <w:b/>
          <w:sz w:val="20"/>
          <w:szCs w:val="20"/>
        </w:rPr>
        <w:tab/>
      </w:r>
      <w:r w:rsidR="00E5176A">
        <w:rPr>
          <w:rFonts w:asciiTheme="minorHAnsi" w:hAnsiTheme="minorHAnsi" w:cstheme="minorHAnsi"/>
          <w:sz w:val="20"/>
          <w:szCs w:val="20"/>
        </w:rPr>
        <w:t xml:space="preserve">– </w:t>
      </w:r>
      <w:r w:rsidR="00E5176A">
        <w:rPr>
          <w:rFonts w:asciiTheme="minorHAnsi" w:hAnsiTheme="minorHAnsi" w:cstheme="minorHAnsi"/>
          <w:sz w:val="20"/>
          <w:szCs w:val="20"/>
        </w:rPr>
        <w:tab/>
      </w:r>
      <w:r w:rsidRPr="007D370F">
        <w:rPr>
          <w:rFonts w:asciiTheme="minorHAnsi" w:hAnsiTheme="minorHAnsi" w:cstheme="minorHAnsi"/>
          <w:sz w:val="20"/>
          <w:szCs w:val="20"/>
        </w:rPr>
        <w:t>wskaźnik „n” z miesiąca za który nastąpi wystawienie faktury (w</w:t>
      </w:r>
      <w:r w:rsidR="00171928">
        <w:rPr>
          <w:rFonts w:asciiTheme="minorHAnsi" w:hAnsiTheme="minorHAnsi" w:cstheme="minorHAnsi"/>
          <w:sz w:val="20"/>
          <w:szCs w:val="20"/>
        </w:rPr>
        <w:t xml:space="preserve">skaźnik cen </w:t>
      </w:r>
    </w:p>
    <w:p w14:paraId="747986DB" w14:textId="77777777" w:rsidR="00E5176A" w:rsidRDefault="00E5176A" w:rsidP="002A3B44">
      <w:pPr>
        <w:pStyle w:val="Bezodstpw"/>
        <w:ind w:left="2118" w:hanging="1410"/>
        <w:jc w:val="both"/>
        <w:rPr>
          <w:rFonts w:asciiTheme="minorHAnsi" w:hAnsiTheme="minorHAnsi" w:cstheme="minorHAnsi"/>
          <w:sz w:val="20"/>
          <w:szCs w:val="20"/>
        </w:rPr>
      </w:pPr>
      <w:r>
        <w:rPr>
          <w:rFonts w:asciiTheme="minorHAnsi" w:hAnsiTheme="minorHAnsi" w:cstheme="minorHAnsi"/>
          <w:b/>
          <w:sz w:val="20"/>
          <w:szCs w:val="20"/>
        </w:rPr>
        <w:t xml:space="preserve">                                               </w:t>
      </w:r>
      <w:r w:rsidR="00171928">
        <w:rPr>
          <w:rFonts w:asciiTheme="minorHAnsi" w:hAnsiTheme="minorHAnsi" w:cstheme="minorHAnsi"/>
          <w:sz w:val="20"/>
          <w:szCs w:val="20"/>
        </w:rPr>
        <w:t>produkcji budowlano-</w:t>
      </w:r>
      <w:r w:rsidR="007D370F" w:rsidRPr="007D370F">
        <w:rPr>
          <w:rFonts w:asciiTheme="minorHAnsi" w:hAnsiTheme="minorHAnsi" w:cstheme="minorHAnsi"/>
          <w:sz w:val="20"/>
          <w:szCs w:val="20"/>
        </w:rPr>
        <w:t xml:space="preserve">montażowej publikowany przez GUS, w układzie </w:t>
      </w:r>
    </w:p>
    <w:p w14:paraId="5D5DDDAB" w14:textId="6B604148" w:rsidR="007D370F" w:rsidRDefault="00E5176A" w:rsidP="002A3B44">
      <w:pPr>
        <w:pStyle w:val="Bezodstpw"/>
        <w:ind w:left="2118" w:hanging="1410"/>
        <w:jc w:val="both"/>
        <w:rPr>
          <w:rFonts w:asciiTheme="minorHAnsi" w:hAnsiTheme="minorHAnsi" w:cstheme="minorHAnsi"/>
          <w:sz w:val="20"/>
          <w:szCs w:val="20"/>
        </w:rPr>
      </w:pPr>
      <w:r>
        <w:rPr>
          <w:rFonts w:asciiTheme="minorHAnsi" w:hAnsiTheme="minorHAnsi" w:cstheme="minorHAnsi"/>
          <w:sz w:val="20"/>
          <w:szCs w:val="20"/>
        </w:rPr>
        <w:t xml:space="preserve">                                               </w:t>
      </w:r>
      <w:r w:rsidR="007D370F" w:rsidRPr="007D370F">
        <w:rPr>
          <w:rFonts w:asciiTheme="minorHAnsi" w:hAnsiTheme="minorHAnsi" w:cstheme="minorHAnsi"/>
          <w:sz w:val="20"/>
          <w:szCs w:val="20"/>
        </w:rPr>
        <w:t>miesiąc poprzedni = 100)</w:t>
      </w:r>
      <w:r w:rsidR="00171928">
        <w:rPr>
          <w:rFonts w:asciiTheme="minorHAnsi" w:hAnsiTheme="minorHAnsi" w:cstheme="minorHAnsi"/>
          <w:sz w:val="20"/>
          <w:szCs w:val="20"/>
        </w:rPr>
        <w:t>.</w:t>
      </w:r>
    </w:p>
    <w:p w14:paraId="750DDF21" w14:textId="77777777" w:rsidR="00171928" w:rsidRDefault="00171928" w:rsidP="002A3B44">
      <w:pPr>
        <w:pStyle w:val="Bezodstpw"/>
        <w:ind w:left="2118" w:hanging="1410"/>
        <w:jc w:val="both"/>
        <w:rPr>
          <w:rFonts w:asciiTheme="minorHAnsi" w:hAnsiTheme="minorHAnsi" w:cstheme="minorHAnsi"/>
          <w:sz w:val="20"/>
          <w:szCs w:val="20"/>
        </w:rPr>
      </w:pPr>
    </w:p>
    <w:p w14:paraId="3035F86A" w14:textId="77777777" w:rsidR="00171928" w:rsidRDefault="00171928" w:rsidP="002A3B44">
      <w:pPr>
        <w:pStyle w:val="Bezodstpw"/>
        <w:ind w:left="2118" w:hanging="1410"/>
        <w:jc w:val="both"/>
        <w:rPr>
          <w:rFonts w:asciiTheme="minorHAnsi" w:hAnsiTheme="minorHAnsi" w:cstheme="minorHAnsi"/>
          <w:sz w:val="20"/>
          <w:szCs w:val="20"/>
        </w:rPr>
      </w:pPr>
    </w:p>
    <w:p w14:paraId="2187C510" w14:textId="77777777" w:rsidR="00171928" w:rsidRPr="00171928" w:rsidRDefault="00171928" w:rsidP="002A3B44">
      <w:pPr>
        <w:pStyle w:val="Bezodstpw"/>
        <w:ind w:left="2118" w:hanging="1410"/>
        <w:jc w:val="both"/>
        <w:rPr>
          <w:rFonts w:ascii="Calibri" w:hAnsi="Calibri" w:cs="Calibri"/>
          <w:sz w:val="16"/>
          <w:szCs w:val="20"/>
        </w:rPr>
      </w:pPr>
    </w:p>
    <w:p w14:paraId="709FC662" w14:textId="77777777" w:rsidR="00171928" w:rsidRPr="00171928" w:rsidRDefault="00171928" w:rsidP="002A3B44">
      <w:pPr>
        <w:pStyle w:val="Bezodstpw"/>
        <w:ind w:left="2118" w:hanging="1410"/>
        <w:jc w:val="both"/>
        <w:rPr>
          <w:rFonts w:ascii="Calibri" w:hAnsi="Calibri" w:cs="Calibri"/>
          <w:sz w:val="20"/>
        </w:rPr>
      </w:pPr>
      <w:r w:rsidRPr="00171928">
        <w:rPr>
          <w:rFonts w:ascii="Calibri" w:hAnsi="Calibri" w:cs="Calibri"/>
          <w:sz w:val="20"/>
        </w:rPr>
        <w:t>Uwaga!</w:t>
      </w:r>
    </w:p>
    <w:p w14:paraId="3C8A9A0F" w14:textId="7B464E57" w:rsidR="00171928" w:rsidRPr="00171928" w:rsidRDefault="00171928" w:rsidP="002A3B44">
      <w:pPr>
        <w:pStyle w:val="Bezodstpw"/>
        <w:numPr>
          <w:ilvl w:val="0"/>
          <w:numId w:val="27"/>
        </w:numPr>
        <w:jc w:val="both"/>
        <w:rPr>
          <w:rFonts w:ascii="Calibri" w:hAnsi="Calibri" w:cs="Calibri"/>
          <w:sz w:val="16"/>
          <w:szCs w:val="20"/>
        </w:rPr>
      </w:pPr>
      <w:r>
        <w:rPr>
          <w:rFonts w:ascii="Calibri" w:hAnsi="Calibri" w:cs="Calibri"/>
          <w:sz w:val="20"/>
        </w:rPr>
        <w:t>k</w:t>
      </w:r>
      <w:r w:rsidRPr="00171928">
        <w:rPr>
          <w:rFonts w:ascii="Calibri" w:hAnsi="Calibri" w:cs="Calibri"/>
          <w:sz w:val="20"/>
        </w:rPr>
        <w:t>woty netto płatne Wykonawcy będą waloryzowane miesięcznie począwszy od 7 miesiąca licząc od</w:t>
      </w:r>
      <w:r w:rsidR="002A3B44">
        <w:rPr>
          <w:rFonts w:ascii="Calibri" w:hAnsi="Calibri" w:cs="Calibri"/>
          <w:sz w:val="20"/>
        </w:rPr>
        <w:t> </w:t>
      </w:r>
      <w:r w:rsidRPr="00171928">
        <w:rPr>
          <w:rFonts w:ascii="Calibri" w:hAnsi="Calibri" w:cs="Calibri"/>
          <w:sz w:val="20"/>
        </w:rPr>
        <w:t xml:space="preserve">terminu początkowego do osiągnięcia limitu waloryzacji </w:t>
      </w:r>
      <w:r>
        <w:rPr>
          <w:rFonts w:ascii="Calibri" w:hAnsi="Calibri" w:cs="Calibri"/>
          <w:sz w:val="20"/>
        </w:rPr>
        <w:t>określonego w pkt. 7 poniżej,</w:t>
      </w:r>
    </w:p>
    <w:p w14:paraId="2C45000D" w14:textId="3F22EE7F" w:rsidR="00171928" w:rsidRPr="00171928" w:rsidRDefault="00171928" w:rsidP="002A3B44">
      <w:pPr>
        <w:pStyle w:val="Bezodstpw"/>
        <w:numPr>
          <w:ilvl w:val="0"/>
          <w:numId w:val="27"/>
        </w:numPr>
        <w:jc w:val="both"/>
        <w:rPr>
          <w:rFonts w:ascii="Calibri" w:hAnsi="Calibri" w:cs="Calibri"/>
          <w:sz w:val="16"/>
          <w:szCs w:val="20"/>
        </w:rPr>
      </w:pPr>
      <w:r>
        <w:rPr>
          <w:rFonts w:ascii="Calibri" w:hAnsi="Calibri" w:cs="Calibri"/>
          <w:sz w:val="20"/>
        </w:rPr>
        <w:t>i</w:t>
      </w:r>
      <w:r w:rsidRPr="00171928">
        <w:rPr>
          <w:rFonts w:ascii="Calibri" w:hAnsi="Calibri" w:cs="Calibri"/>
          <w:sz w:val="20"/>
        </w:rPr>
        <w:t xml:space="preserve">lorazy wskaźników cen (np. </w:t>
      </w:r>
      <w:r w:rsidRPr="00171928">
        <w:rPr>
          <w:rFonts w:ascii="Cambria Math" w:hAnsi="Cambria Math" w:cs="Cambria Math"/>
          <w:sz w:val="20"/>
        </w:rPr>
        <w:t>𝑊</w:t>
      </w:r>
      <w:r w:rsidRPr="00171928">
        <w:rPr>
          <w:rFonts w:ascii="Calibri" w:hAnsi="Calibri" w:cs="Calibri"/>
          <w:sz w:val="20"/>
        </w:rPr>
        <w:t>1 100 ) należy obliczać z dokładnością do trzech miejsc po</w:t>
      </w:r>
      <w:r w:rsidR="00E5176A">
        <w:rPr>
          <w:rFonts w:ascii="Calibri" w:hAnsi="Calibri" w:cs="Calibri"/>
          <w:sz w:val="20"/>
        </w:rPr>
        <w:t> </w:t>
      </w:r>
      <w:r w:rsidRPr="00171928">
        <w:rPr>
          <w:rFonts w:ascii="Calibri" w:hAnsi="Calibri" w:cs="Calibri"/>
          <w:sz w:val="20"/>
        </w:rPr>
        <w:t xml:space="preserve">przecinku. Natomiast wynik iloczynów tj. wskaźnik waloryzacji </w:t>
      </w:r>
      <w:proofErr w:type="spellStart"/>
      <w:r w:rsidRPr="00171928">
        <w:rPr>
          <w:rFonts w:ascii="Calibri" w:hAnsi="Calibri" w:cs="Calibri"/>
          <w:sz w:val="20"/>
        </w:rPr>
        <w:t>Ww</w:t>
      </w:r>
      <w:proofErr w:type="spellEnd"/>
      <w:r w:rsidRPr="00171928">
        <w:rPr>
          <w:rFonts w:ascii="Calibri" w:hAnsi="Calibri" w:cs="Calibri"/>
          <w:sz w:val="20"/>
        </w:rPr>
        <w:t xml:space="preserve"> (n) należy obliczać z</w:t>
      </w:r>
      <w:r w:rsidR="00E5176A">
        <w:rPr>
          <w:rFonts w:ascii="Calibri" w:hAnsi="Calibri" w:cs="Calibri"/>
          <w:sz w:val="20"/>
        </w:rPr>
        <w:t> </w:t>
      </w:r>
      <w:r w:rsidRPr="00171928">
        <w:rPr>
          <w:rFonts w:ascii="Calibri" w:hAnsi="Calibri" w:cs="Calibri"/>
          <w:sz w:val="20"/>
        </w:rPr>
        <w:t>dokładnoś</w:t>
      </w:r>
      <w:r>
        <w:rPr>
          <w:rFonts w:ascii="Calibri" w:hAnsi="Calibri" w:cs="Calibri"/>
          <w:sz w:val="20"/>
        </w:rPr>
        <w:t>cią do 4 miejsc po przecinku,</w:t>
      </w:r>
    </w:p>
    <w:p w14:paraId="6E1FBAF3" w14:textId="1CCEE056" w:rsidR="00171928" w:rsidRPr="00171928" w:rsidRDefault="00171928" w:rsidP="002A3B44">
      <w:pPr>
        <w:pStyle w:val="Bezodstpw"/>
        <w:numPr>
          <w:ilvl w:val="0"/>
          <w:numId w:val="27"/>
        </w:numPr>
        <w:jc w:val="both"/>
        <w:rPr>
          <w:rFonts w:ascii="Calibri" w:hAnsi="Calibri" w:cs="Calibri"/>
          <w:sz w:val="16"/>
          <w:szCs w:val="20"/>
        </w:rPr>
      </w:pPr>
      <w:r>
        <w:rPr>
          <w:rFonts w:ascii="Calibri" w:hAnsi="Calibri" w:cs="Calibri"/>
          <w:sz w:val="20"/>
        </w:rPr>
        <w:t>w</w:t>
      </w:r>
      <w:r w:rsidRPr="00171928">
        <w:rPr>
          <w:rFonts w:ascii="Calibri" w:hAnsi="Calibri" w:cs="Calibri"/>
          <w:sz w:val="20"/>
        </w:rPr>
        <w:t xml:space="preserve"> przypadku braku aktualnego wskaźnika (publikacja wskaźników</w:t>
      </w:r>
      <w:r>
        <w:rPr>
          <w:rFonts w:ascii="Calibri" w:hAnsi="Calibri" w:cs="Calibri"/>
          <w:sz w:val="20"/>
        </w:rPr>
        <w:t xml:space="preserve"> w biuletynach GUS odbywa się</w:t>
      </w:r>
      <w:r w:rsidR="002A3B44">
        <w:rPr>
          <w:rFonts w:ascii="Calibri" w:hAnsi="Calibri" w:cs="Calibri"/>
          <w:sz w:val="20"/>
        </w:rPr>
        <w:t> </w:t>
      </w:r>
      <w:r>
        <w:rPr>
          <w:rFonts w:ascii="Calibri" w:hAnsi="Calibri" w:cs="Calibri"/>
          <w:sz w:val="20"/>
        </w:rPr>
        <w:t>z </w:t>
      </w:r>
      <w:r w:rsidRPr="00171928">
        <w:rPr>
          <w:rFonts w:ascii="Calibri" w:hAnsi="Calibri" w:cs="Calibri"/>
          <w:sz w:val="20"/>
        </w:rPr>
        <w:t>opóźnieniem) waloryzacja z bieżącego okresu rozliczeniowego zostanie wyliczona na</w:t>
      </w:r>
      <w:r w:rsidR="00E5176A">
        <w:rPr>
          <w:rFonts w:ascii="Calibri" w:hAnsi="Calibri" w:cs="Calibri"/>
          <w:sz w:val="20"/>
        </w:rPr>
        <w:t> </w:t>
      </w:r>
      <w:r w:rsidRPr="00171928">
        <w:rPr>
          <w:rFonts w:ascii="Calibri" w:hAnsi="Calibri" w:cs="Calibri"/>
          <w:sz w:val="20"/>
        </w:rPr>
        <w:t>podstawie ostatniego opublikowanego wskaźnika.</w:t>
      </w:r>
    </w:p>
    <w:p w14:paraId="52540060" w14:textId="77777777" w:rsidR="00171928" w:rsidRPr="00171928" w:rsidRDefault="00171928" w:rsidP="002A3B44">
      <w:pPr>
        <w:pStyle w:val="Bezodstpw"/>
        <w:ind w:left="1570"/>
        <w:jc w:val="both"/>
        <w:rPr>
          <w:rFonts w:ascii="Calibri" w:hAnsi="Calibri" w:cs="Calibri"/>
          <w:sz w:val="16"/>
          <w:szCs w:val="20"/>
        </w:rPr>
      </w:pPr>
    </w:p>
    <w:p w14:paraId="7B9F45B4" w14:textId="00917903" w:rsidR="00171928" w:rsidRPr="00E5176A" w:rsidRDefault="002A3B44" w:rsidP="002A3B44">
      <w:pPr>
        <w:pStyle w:val="Bezodstpw"/>
        <w:numPr>
          <w:ilvl w:val="0"/>
          <w:numId w:val="25"/>
        </w:numPr>
        <w:jc w:val="both"/>
        <w:rPr>
          <w:rFonts w:ascii="Calibri" w:hAnsi="Calibri" w:cs="Calibri"/>
          <w:sz w:val="16"/>
          <w:szCs w:val="20"/>
        </w:rPr>
      </w:pPr>
      <w:r>
        <w:rPr>
          <w:rFonts w:ascii="Calibri" w:hAnsi="Calibri" w:cs="Calibri"/>
          <w:sz w:val="20"/>
        </w:rPr>
        <w:t>w</w:t>
      </w:r>
      <w:r w:rsidR="00171928" w:rsidRPr="00171928">
        <w:rPr>
          <w:rFonts w:ascii="Calibri" w:hAnsi="Calibri" w:cs="Calibri"/>
          <w:sz w:val="20"/>
        </w:rPr>
        <w:t>ynagrodzenie netto Wykonawcy, z wyłączeniem wartości netto wykonanych robót dodatkowych oraz</w:t>
      </w:r>
      <w:r>
        <w:rPr>
          <w:rFonts w:ascii="Calibri" w:hAnsi="Calibri" w:cs="Calibri"/>
          <w:sz w:val="20"/>
        </w:rPr>
        <w:t> </w:t>
      </w:r>
      <w:r w:rsidR="00171928" w:rsidRPr="00171928">
        <w:rPr>
          <w:rFonts w:ascii="Calibri" w:hAnsi="Calibri" w:cs="Calibri"/>
          <w:sz w:val="20"/>
        </w:rPr>
        <w:t>zamiennych, będzie podlegało waloryzacji maksymalnie o +/- 2,5% wartości pierwotnego wynagrodzenia netto. Postanowień umownych w zakresie waloryzacji nie stosuje się od chwili osiągnięcia powyższego limitu</w:t>
      </w:r>
      <w:r w:rsidR="00E5176A">
        <w:rPr>
          <w:rFonts w:ascii="Calibri" w:hAnsi="Calibri" w:cs="Calibri"/>
          <w:sz w:val="20"/>
        </w:rPr>
        <w:t>;</w:t>
      </w:r>
    </w:p>
    <w:p w14:paraId="3C470E56" w14:textId="77777777" w:rsidR="00E5176A" w:rsidRPr="00E5176A" w:rsidRDefault="00E5176A" w:rsidP="00E5176A">
      <w:pPr>
        <w:pStyle w:val="Bezodstpw"/>
        <w:ind w:left="720"/>
        <w:jc w:val="both"/>
        <w:rPr>
          <w:rFonts w:ascii="Calibri" w:hAnsi="Calibri" w:cs="Calibri"/>
          <w:sz w:val="16"/>
          <w:szCs w:val="20"/>
        </w:rPr>
      </w:pPr>
    </w:p>
    <w:p w14:paraId="0638F697" w14:textId="1674B751" w:rsidR="00171928" w:rsidRDefault="00E5176A" w:rsidP="00E5176A">
      <w:pPr>
        <w:pStyle w:val="Bezodstpw"/>
        <w:numPr>
          <w:ilvl w:val="0"/>
          <w:numId w:val="25"/>
        </w:numPr>
        <w:jc w:val="both"/>
        <w:rPr>
          <w:rFonts w:ascii="Calibri" w:hAnsi="Calibri" w:cs="Calibri"/>
          <w:sz w:val="20"/>
          <w:szCs w:val="20"/>
        </w:rPr>
      </w:pPr>
      <w:r w:rsidRPr="00E5176A">
        <w:rPr>
          <w:rFonts w:ascii="Calibri" w:hAnsi="Calibri" w:cs="Calibri"/>
          <w:sz w:val="20"/>
          <w:szCs w:val="20"/>
        </w:rPr>
        <w:t>j</w:t>
      </w:r>
      <w:r w:rsidR="00171928" w:rsidRPr="00E5176A">
        <w:rPr>
          <w:rFonts w:ascii="Calibri" w:hAnsi="Calibri" w:cs="Calibri"/>
          <w:sz w:val="20"/>
          <w:szCs w:val="20"/>
        </w:rPr>
        <w:t xml:space="preserve">eżeli wynagrodzenie Wykonawcy zostanie zwaloryzowane zgodnie z art. 439 ust. 1-3 ustawy </w:t>
      </w:r>
      <w:proofErr w:type="spellStart"/>
      <w:r w:rsidR="00171928" w:rsidRPr="00E5176A">
        <w:rPr>
          <w:rFonts w:ascii="Calibri" w:hAnsi="Calibri" w:cs="Calibri"/>
          <w:sz w:val="20"/>
          <w:szCs w:val="20"/>
        </w:rPr>
        <w:t>Pzp</w:t>
      </w:r>
      <w:proofErr w:type="spellEnd"/>
      <w:r w:rsidR="00171928" w:rsidRPr="00E5176A">
        <w:rPr>
          <w:rFonts w:ascii="Calibri" w:hAnsi="Calibri" w:cs="Calibri"/>
          <w:sz w:val="20"/>
          <w:szCs w:val="20"/>
        </w:rPr>
        <w:t>, Wykonawca zobowiązany jest do zmiany wynagrodzenia przysługującego Podwykonawcy i odpowiednio Podwykonawca dalszemu Podwykonawcy, z którym zawarł umowę, jeżeli łącznie spełnione są</w:t>
      </w:r>
      <w:r>
        <w:rPr>
          <w:rFonts w:ascii="Calibri" w:hAnsi="Calibri" w:cs="Calibri"/>
          <w:sz w:val="20"/>
          <w:szCs w:val="20"/>
        </w:rPr>
        <w:t> </w:t>
      </w:r>
      <w:r w:rsidR="00171928" w:rsidRPr="00E5176A">
        <w:rPr>
          <w:rFonts w:ascii="Calibri" w:hAnsi="Calibri" w:cs="Calibri"/>
          <w:sz w:val="20"/>
          <w:szCs w:val="20"/>
        </w:rPr>
        <w:t>następujące warunki: przedmiotem umowy są roboty budowlane, dostawy lub usługi oraz okres obowiązywania umowy wraz z aneksami przekracza 6 miesięcy. Waloryzacja będzie się odbywać na</w:t>
      </w:r>
      <w:r>
        <w:rPr>
          <w:rFonts w:ascii="Calibri" w:hAnsi="Calibri" w:cs="Calibri"/>
          <w:sz w:val="20"/>
          <w:szCs w:val="20"/>
        </w:rPr>
        <w:t> </w:t>
      </w:r>
      <w:r w:rsidR="00171928" w:rsidRPr="00E5176A">
        <w:rPr>
          <w:rFonts w:ascii="Calibri" w:hAnsi="Calibri" w:cs="Calibri"/>
          <w:sz w:val="20"/>
          <w:szCs w:val="20"/>
        </w:rPr>
        <w:t>analogicznych zasadach jak waloryzacja wynagrodzenia Wykonawcy z zastrzeżeniem, że wskaźniki waloryzacji wynagrodzenia będą kalkulowane w odniesieniu do dnia zawarcia umowy pomiędzy Wykonawcą a Podwykonawcą, lub Podwykonawcą, a dalszym Podwykonawcą</w:t>
      </w:r>
      <w:r w:rsidRPr="00E5176A">
        <w:rPr>
          <w:rFonts w:ascii="Calibri" w:hAnsi="Calibri" w:cs="Calibri"/>
          <w:sz w:val="20"/>
          <w:szCs w:val="20"/>
        </w:rPr>
        <w:t>;</w:t>
      </w:r>
    </w:p>
    <w:p w14:paraId="7E2D9A1A" w14:textId="77777777" w:rsidR="00E5176A" w:rsidRPr="00E5176A" w:rsidRDefault="00E5176A" w:rsidP="00E5176A">
      <w:pPr>
        <w:pStyle w:val="Bezodstpw"/>
        <w:jc w:val="both"/>
        <w:rPr>
          <w:rFonts w:ascii="Calibri" w:hAnsi="Calibri" w:cs="Calibri"/>
          <w:sz w:val="20"/>
          <w:szCs w:val="20"/>
        </w:rPr>
      </w:pPr>
    </w:p>
    <w:p w14:paraId="3114492A" w14:textId="01DB20E8" w:rsidR="00171928" w:rsidRPr="00E5176A" w:rsidRDefault="00E5176A" w:rsidP="00E5176A">
      <w:pPr>
        <w:pStyle w:val="Bezodstpw"/>
        <w:numPr>
          <w:ilvl w:val="0"/>
          <w:numId w:val="25"/>
        </w:numPr>
        <w:jc w:val="both"/>
        <w:rPr>
          <w:rFonts w:ascii="Calibri" w:hAnsi="Calibri" w:cs="Calibri"/>
          <w:sz w:val="20"/>
          <w:szCs w:val="20"/>
        </w:rPr>
      </w:pPr>
      <w:r w:rsidRPr="00E5176A">
        <w:rPr>
          <w:rFonts w:ascii="Calibri" w:hAnsi="Calibri" w:cs="Calibri"/>
          <w:sz w:val="20"/>
          <w:szCs w:val="20"/>
        </w:rPr>
        <w:t>d</w:t>
      </w:r>
      <w:r w:rsidR="00171928" w:rsidRPr="00E5176A">
        <w:rPr>
          <w:rFonts w:ascii="Calibri" w:hAnsi="Calibri" w:cs="Calibri"/>
          <w:sz w:val="20"/>
          <w:szCs w:val="20"/>
        </w:rPr>
        <w:t>o zmiany wynagrodzenia Wykonawcy z tytułu waloryzacji wyliczonej w kwocie netto należy doliczyć podatek od</w:t>
      </w:r>
      <w:r w:rsidR="002A3B44" w:rsidRPr="00E5176A">
        <w:rPr>
          <w:rFonts w:ascii="Calibri" w:hAnsi="Calibri" w:cs="Calibri"/>
          <w:sz w:val="20"/>
          <w:szCs w:val="20"/>
        </w:rPr>
        <w:t> </w:t>
      </w:r>
      <w:r w:rsidR="00171928" w:rsidRPr="00E5176A">
        <w:rPr>
          <w:rFonts w:ascii="Calibri" w:hAnsi="Calibri" w:cs="Calibri"/>
          <w:sz w:val="20"/>
          <w:szCs w:val="20"/>
        </w:rPr>
        <w:t>towarów i usług VAT.</w:t>
      </w:r>
    </w:p>
    <w:sectPr w:rsidR="00171928" w:rsidRPr="00E5176A" w:rsidSect="002A3B44">
      <w:footerReference w:type="default" r:id="rId10"/>
      <w:headerReference w:type="first" r:id="rId11"/>
      <w:footerReference w:type="first" r:id="rId12"/>
      <w:type w:val="continuous"/>
      <w:pgSz w:w="11909" w:h="16838"/>
      <w:pgMar w:top="1417" w:right="1417" w:bottom="1417" w:left="1417"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B207E" w14:textId="77777777" w:rsidR="00757754" w:rsidRDefault="00757754">
      <w:r>
        <w:separator/>
      </w:r>
    </w:p>
  </w:endnote>
  <w:endnote w:type="continuationSeparator" w:id="0">
    <w:p w14:paraId="6E1030C2" w14:textId="77777777" w:rsidR="00757754" w:rsidRDefault="0075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02E63" w14:textId="77777777" w:rsidR="00315FE3" w:rsidRDefault="00423CD9">
    <w:pPr>
      <w:rPr>
        <w:sz w:val="2"/>
        <w:szCs w:val="2"/>
      </w:rPr>
    </w:pPr>
    <w:r>
      <w:rPr>
        <w:noProof/>
        <w:lang w:bidi="ar-SA"/>
      </w:rPr>
      <mc:AlternateContent>
        <mc:Choice Requires="wps">
          <w:drawing>
            <wp:anchor distT="0" distB="0" distL="63500" distR="63500" simplePos="0" relativeHeight="314572416" behindDoc="1" locked="0" layoutInCell="1" allowOverlap="1" wp14:anchorId="5440531E" wp14:editId="42C1838F">
              <wp:simplePos x="0" y="0"/>
              <wp:positionH relativeFrom="page">
                <wp:posOffset>6710045</wp:posOffset>
              </wp:positionH>
              <wp:positionV relativeFrom="page">
                <wp:posOffset>10356850</wp:posOffset>
              </wp:positionV>
              <wp:extent cx="222885" cy="132080"/>
              <wp:effectExtent l="4445" t="3175"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88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BB5CA3" w14:textId="0C14166B" w:rsidR="00315FE3" w:rsidRDefault="00315FE3">
                          <w:pPr>
                            <w:pStyle w:val="Nagweklubstopka0"/>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440531E" id="_x0000_t202" coordsize="21600,21600" o:spt="202" path="m,l,21600r21600,l21600,xe">
              <v:stroke joinstyle="miter"/>
              <v:path gradientshapeok="t" o:connecttype="rect"/>
            </v:shapetype>
            <v:shape id="Text Box 2" o:spid="_x0000_s1026" type="#_x0000_t202" style="position:absolute;margin-left:528.35pt;margin-top:815.5pt;width:17.55pt;height:10.4pt;z-index:-18874406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" filled="f" stroked="f">
              <v:textbox style="mso-fit-shape-to-text:t" inset="0,0,0,0">
                <w:txbxContent>
                  <w:p w14:paraId="1CBB5CA3" w14:textId="0C14166B" w:rsidR="00315FE3" w:rsidRDefault="00315FE3">
                    <w:pPr>
                      <w:pStyle w:val="Nagweklubstopka0"/>
                      <w:shd w:val="clear" w:color="auto" w:fill="auto"/>
                      <w:spacing w:line="240" w:lineRule="auto"/>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0A9B" w14:textId="77777777" w:rsidR="00315FE3" w:rsidRDefault="00423CD9">
    <w:pPr>
      <w:rPr>
        <w:sz w:val="2"/>
        <w:szCs w:val="2"/>
      </w:rPr>
    </w:pPr>
    <w:r>
      <w:rPr>
        <w:noProof/>
        <w:lang w:bidi="ar-SA"/>
      </w:rPr>
      <mc:AlternateContent>
        <mc:Choice Requires="wps">
          <w:drawing>
            <wp:anchor distT="0" distB="0" distL="63500" distR="63500" simplePos="0" relativeHeight="314572418" behindDoc="1" locked="0" layoutInCell="1" allowOverlap="1" wp14:anchorId="14E0E0BD" wp14:editId="121A79B2">
              <wp:simplePos x="0" y="0"/>
              <wp:positionH relativeFrom="page">
                <wp:posOffset>6690360</wp:posOffset>
              </wp:positionH>
              <wp:positionV relativeFrom="page">
                <wp:posOffset>10257790</wp:posOffset>
              </wp:positionV>
              <wp:extent cx="222250" cy="73025"/>
              <wp:effectExtent l="3810" t="0" r="2540" b="381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2250" cy="73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35736" w14:textId="77777777" w:rsidR="00315FE3" w:rsidRDefault="007766BA">
                          <w:pPr>
                            <w:pStyle w:val="Nagweklubstopka0"/>
                            <w:shd w:val="clear" w:color="auto" w:fill="auto"/>
                            <w:spacing w:line="240" w:lineRule="auto"/>
                          </w:pPr>
                          <w:r>
                            <w:rPr>
                              <w:rStyle w:val="Nagweklubstopka85ptBezpogrubienia"/>
                            </w:rPr>
                            <w:t xml:space="preserve">str. </w:t>
                          </w:r>
                          <w:r>
                            <w:rPr>
                              <w:rStyle w:val="Nagweklubstopka85ptBezpogrubienia"/>
                            </w:rPr>
                            <w:fldChar w:fldCharType="begin"/>
                          </w:r>
                          <w:r>
                            <w:rPr>
                              <w:rStyle w:val="Nagweklubstopka85ptBezpogrubienia"/>
                            </w:rPr>
                            <w:instrText xml:space="preserve"> PAGE \* MERGEFORMAT </w:instrText>
                          </w:r>
                          <w:r>
                            <w:rPr>
                              <w:rStyle w:val="Nagweklubstopka85ptBezpogrubienia"/>
                            </w:rPr>
                            <w:fldChar w:fldCharType="separate"/>
                          </w:r>
                          <w:r w:rsidR="004E2738">
                            <w:rPr>
                              <w:rStyle w:val="Nagweklubstopka85ptBezpogrubienia"/>
                              <w:noProof/>
                            </w:rPr>
                            <w:t>1</w:t>
                          </w:r>
                          <w:r>
                            <w:rPr>
                              <w:rStyle w:val="Nagweklubstopka85ptBezpogrubienia"/>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4E0E0BD" id="_x0000_t202" coordsize="21600,21600" o:spt="202" path="m,l,21600r21600,l21600,xe">
              <v:stroke joinstyle="miter"/>
              <v:path gradientshapeok="t" o:connecttype="rect"/>
            </v:shapetype>
            <v:shape id="Text Box 1" o:spid="_x0000_s1027" type="#_x0000_t202" style="position:absolute;margin-left:526.8pt;margin-top:807.7pt;width:17.5pt;height:5.75pt;z-index:-18874406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" filled="f" stroked="f">
              <v:textbox style="mso-fit-shape-to-text:t" inset="0,0,0,0">
                <w:txbxContent>
                  <w:p w14:paraId="00235736" w14:textId="77777777" w:rsidR="00315FE3" w:rsidRDefault="007766BA">
                    <w:pPr>
                      <w:pStyle w:val="Nagweklubstopka0"/>
                      <w:shd w:val="clear" w:color="auto" w:fill="auto"/>
                      <w:spacing w:line="240" w:lineRule="auto"/>
                    </w:pPr>
                    <w:r>
                      <w:rPr>
                        <w:rStyle w:val="Nagweklubstopka85ptBezpogrubienia"/>
                      </w:rPr>
                      <w:t xml:space="preserve">str. </w:t>
                    </w:r>
                    <w:r>
                      <w:rPr>
                        <w:rStyle w:val="Nagweklubstopka85ptBezpogrubienia"/>
                      </w:rPr>
                      <w:fldChar w:fldCharType="begin"/>
                    </w:r>
                    <w:r>
                      <w:rPr>
                        <w:rStyle w:val="Nagweklubstopka85ptBezpogrubienia"/>
                      </w:rPr>
                      <w:instrText xml:space="preserve"> PAGE \* MERGEFORMAT </w:instrText>
                    </w:r>
                    <w:r>
                      <w:rPr>
                        <w:rStyle w:val="Nagweklubstopka85ptBezpogrubienia"/>
                      </w:rPr>
                      <w:fldChar w:fldCharType="separate"/>
                    </w:r>
                    <w:r w:rsidR="004E2738">
                      <w:rPr>
                        <w:rStyle w:val="Nagweklubstopka85ptBezpogrubienia"/>
                        <w:noProof/>
                      </w:rPr>
                      <w:t>1</w:t>
                    </w:r>
                    <w:r>
                      <w:rPr>
                        <w:rStyle w:val="Nagweklubstopka85ptBezpogrubienia"/>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AA198" w14:textId="77777777" w:rsidR="00757754" w:rsidRDefault="00757754"/>
  </w:footnote>
  <w:footnote w:type="continuationSeparator" w:id="0">
    <w:p w14:paraId="240B65F0" w14:textId="77777777" w:rsidR="00757754" w:rsidRDefault="0075775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46190" w14:textId="77777777" w:rsidR="00796908" w:rsidRDefault="00796908" w:rsidP="00796908">
    <w:pPr>
      <w:pStyle w:val="Nagweklubstopka0"/>
      <w:shd w:val="clear" w:color="auto" w:fill="auto"/>
      <w:spacing w:line="240" w:lineRule="auto"/>
      <w:rPr>
        <w:rStyle w:val="Nagweklubstopka95pt"/>
        <w:b/>
        <w:bCs/>
      </w:rPr>
    </w:pPr>
  </w:p>
  <w:p w14:paraId="323FBC9C" w14:textId="77777777" w:rsidR="00796908" w:rsidRDefault="00796908" w:rsidP="00796908">
    <w:pPr>
      <w:pStyle w:val="Bezodstpw"/>
      <w:jc w:val="right"/>
    </w:pPr>
    <w:r>
      <w:rPr>
        <w:rStyle w:val="Nagweklubstopka95pt"/>
      </w:rPr>
      <w:t xml:space="preserve">Załącznik nr 3 </w:t>
    </w:r>
    <w:r>
      <w:rPr>
        <w:rStyle w:val="Nagweklubstopka1"/>
      </w:rPr>
      <w:t xml:space="preserve">do UMOWY </w:t>
    </w:r>
  </w:p>
  <w:p w14:paraId="52338AB5" w14:textId="77777777" w:rsidR="00796908" w:rsidRDefault="007969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A7B9E"/>
    <w:multiLevelType w:val="multilevel"/>
    <w:tmpl w:val="7590860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04758"/>
    <w:multiLevelType w:val="hybridMultilevel"/>
    <w:tmpl w:val="CE3451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7323F4B"/>
    <w:multiLevelType w:val="multilevel"/>
    <w:tmpl w:val="D5C8E5D4"/>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7C6A7D"/>
    <w:multiLevelType w:val="multilevel"/>
    <w:tmpl w:val="0948756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612BFA"/>
    <w:multiLevelType w:val="multilevel"/>
    <w:tmpl w:val="A080D6DA"/>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8163604"/>
    <w:multiLevelType w:val="hybridMultilevel"/>
    <w:tmpl w:val="F21236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644D03"/>
    <w:multiLevelType w:val="multilevel"/>
    <w:tmpl w:val="5A5E3C7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B026132"/>
    <w:multiLevelType w:val="hybridMultilevel"/>
    <w:tmpl w:val="0FDA9124"/>
    <w:lvl w:ilvl="0" w:tplc="83B06236">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867CA6"/>
    <w:multiLevelType w:val="multilevel"/>
    <w:tmpl w:val="9FA036F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4B1A33"/>
    <w:multiLevelType w:val="hybridMultilevel"/>
    <w:tmpl w:val="96C205C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2ABE78FA"/>
    <w:multiLevelType w:val="hybridMultilevel"/>
    <w:tmpl w:val="CBB69320"/>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2C03214B"/>
    <w:multiLevelType w:val="multilevel"/>
    <w:tmpl w:val="F35A6D0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1733683"/>
    <w:multiLevelType w:val="multilevel"/>
    <w:tmpl w:val="12245250"/>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17F0352"/>
    <w:multiLevelType w:val="multilevel"/>
    <w:tmpl w:val="1E08A17A"/>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26B730B"/>
    <w:multiLevelType w:val="multilevel"/>
    <w:tmpl w:val="71400DA8"/>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C292E05"/>
    <w:multiLevelType w:val="hybridMultilevel"/>
    <w:tmpl w:val="4AC03A86"/>
    <w:lvl w:ilvl="0" w:tplc="04150005">
      <w:start w:val="1"/>
      <w:numFmt w:val="bullet"/>
      <w:lvlText w:val=""/>
      <w:lvlJc w:val="left"/>
      <w:pPr>
        <w:ind w:left="1570" w:hanging="360"/>
      </w:pPr>
      <w:rPr>
        <w:rFonts w:ascii="Wingdings" w:hAnsi="Wingdings"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16" w15:restartNumberingAfterBreak="0">
    <w:nsid w:val="3CB77B06"/>
    <w:multiLevelType w:val="hybridMultilevel"/>
    <w:tmpl w:val="B5A884B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D5D4919"/>
    <w:multiLevelType w:val="multilevel"/>
    <w:tmpl w:val="19AEA84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837B5A"/>
    <w:multiLevelType w:val="hybridMultilevel"/>
    <w:tmpl w:val="CE34519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3FDE6DC5"/>
    <w:multiLevelType w:val="multilevel"/>
    <w:tmpl w:val="BFBE640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501903D0"/>
    <w:multiLevelType w:val="hybridMultilevel"/>
    <w:tmpl w:val="D674D74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5EA94EB6"/>
    <w:multiLevelType w:val="hybridMultilevel"/>
    <w:tmpl w:val="C410421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6C281A0C"/>
    <w:multiLevelType w:val="hybridMultilevel"/>
    <w:tmpl w:val="FC02611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74064937"/>
    <w:multiLevelType w:val="multilevel"/>
    <w:tmpl w:val="1C066B96"/>
    <w:lvl w:ilvl="0">
      <w:start w:val="1"/>
      <w:numFmt w:val="decimal"/>
      <w:lvlText w:val="%1."/>
      <w:lvlJc w:val="left"/>
      <w:rPr>
        <w:rFonts w:ascii="Tahoma" w:eastAsia="Tahoma" w:hAnsi="Tahoma" w:cs="Tahoma"/>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68220A9"/>
    <w:multiLevelType w:val="hybridMultilevel"/>
    <w:tmpl w:val="6302ABD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78842801"/>
    <w:multiLevelType w:val="hybridMultilevel"/>
    <w:tmpl w:val="BD5E508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26" w15:restartNumberingAfterBreak="0">
    <w:nsid w:val="7A6F5357"/>
    <w:multiLevelType w:val="hybridMultilevel"/>
    <w:tmpl w:val="ADC86D6C"/>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5137982">
    <w:abstractNumId w:val="0"/>
  </w:num>
  <w:num w:numId="2" w16cid:durableId="387538802">
    <w:abstractNumId w:val="19"/>
  </w:num>
  <w:num w:numId="3" w16cid:durableId="45419753">
    <w:abstractNumId w:val="2"/>
  </w:num>
  <w:num w:numId="4" w16cid:durableId="1564951982">
    <w:abstractNumId w:val="17"/>
  </w:num>
  <w:num w:numId="5" w16cid:durableId="642122045">
    <w:abstractNumId w:val="11"/>
  </w:num>
  <w:num w:numId="6" w16cid:durableId="93942812">
    <w:abstractNumId w:val="14"/>
  </w:num>
  <w:num w:numId="7" w16cid:durableId="1235512615">
    <w:abstractNumId w:val="8"/>
  </w:num>
  <w:num w:numId="8" w16cid:durableId="2040617999">
    <w:abstractNumId w:val="13"/>
  </w:num>
  <w:num w:numId="9" w16cid:durableId="34240844">
    <w:abstractNumId w:val="6"/>
  </w:num>
  <w:num w:numId="10" w16cid:durableId="1861820181">
    <w:abstractNumId w:val="3"/>
  </w:num>
  <w:num w:numId="11" w16cid:durableId="2142265450">
    <w:abstractNumId w:val="23"/>
  </w:num>
  <w:num w:numId="12" w16cid:durableId="1236935239">
    <w:abstractNumId w:val="7"/>
  </w:num>
  <w:num w:numId="13" w16cid:durableId="283928675">
    <w:abstractNumId w:val="9"/>
  </w:num>
  <w:num w:numId="14" w16cid:durableId="1695614884">
    <w:abstractNumId w:val="20"/>
  </w:num>
  <w:num w:numId="15" w16cid:durableId="293144536">
    <w:abstractNumId w:val="18"/>
  </w:num>
  <w:num w:numId="16" w16cid:durableId="1028604400">
    <w:abstractNumId w:val="10"/>
  </w:num>
  <w:num w:numId="17" w16cid:durableId="1327972014">
    <w:abstractNumId w:val="1"/>
  </w:num>
  <w:num w:numId="18" w16cid:durableId="995454250">
    <w:abstractNumId w:val="16"/>
  </w:num>
  <w:num w:numId="19" w16cid:durableId="1419205249">
    <w:abstractNumId w:val="21"/>
  </w:num>
  <w:num w:numId="20" w16cid:durableId="4791093">
    <w:abstractNumId w:val="25"/>
  </w:num>
  <w:num w:numId="21" w16cid:durableId="1461998884">
    <w:abstractNumId w:val="24"/>
  </w:num>
  <w:num w:numId="22" w16cid:durableId="1113864031">
    <w:abstractNumId w:val="5"/>
  </w:num>
  <w:num w:numId="23" w16cid:durableId="830563966">
    <w:abstractNumId w:val="12"/>
  </w:num>
  <w:num w:numId="24" w16cid:durableId="2063674399">
    <w:abstractNumId w:val="4"/>
  </w:num>
  <w:num w:numId="25" w16cid:durableId="563297916">
    <w:abstractNumId w:val="26"/>
  </w:num>
  <w:num w:numId="26" w16cid:durableId="1468739295">
    <w:abstractNumId w:val="22"/>
  </w:num>
  <w:num w:numId="27" w16cid:durableId="182500878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FE3"/>
    <w:rsid w:val="00127F7E"/>
    <w:rsid w:val="00131244"/>
    <w:rsid w:val="00171928"/>
    <w:rsid w:val="001E2742"/>
    <w:rsid w:val="002902FD"/>
    <w:rsid w:val="002A3B44"/>
    <w:rsid w:val="002B78DC"/>
    <w:rsid w:val="002E03A3"/>
    <w:rsid w:val="00315FE3"/>
    <w:rsid w:val="003919B2"/>
    <w:rsid w:val="004102A0"/>
    <w:rsid w:val="00423CD9"/>
    <w:rsid w:val="004B7B52"/>
    <w:rsid w:val="004E2738"/>
    <w:rsid w:val="00527B67"/>
    <w:rsid w:val="0056623B"/>
    <w:rsid w:val="005A52E8"/>
    <w:rsid w:val="00616944"/>
    <w:rsid w:val="00630CBC"/>
    <w:rsid w:val="00645B51"/>
    <w:rsid w:val="0068579F"/>
    <w:rsid w:val="00747C6C"/>
    <w:rsid w:val="00747CDF"/>
    <w:rsid w:val="00757754"/>
    <w:rsid w:val="00764C87"/>
    <w:rsid w:val="007766BA"/>
    <w:rsid w:val="00776767"/>
    <w:rsid w:val="00796908"/>
    <w:rsid w:val="007A7A62"/>
    <w:rsid w:val="007D370F"/>
    <w:rsid w:val="00A54533"/>
    <w:rsid w:val="00A75E7A"/>
    <w:rsid w:val="00AD6353"/>
    <w:rsid w:val="00AE766B"/>
    <w:rsid w:val="00B07F43"/>
    <w:rsid w:val="00B2724F"/>
    <w:rsid w:val="00BD5361"/>
    <w:rsid w:val="00C475D6"/>
    <w:rsid w:val="00CC4B4F"/>
    <w:rsid w:val="00D94B5A"/>
    <w:rsid w:val="00E11ACA"/>
    <w:rsid w:val="00E5176A"/>
    <w:rsid w:val="00E54BD2"/>
    <w:rsid w:val="00E73A45"/>
    <w:rsid w:val="00E85E34"/>
    <w:rsid w:val="00EB508F"/>
    <w:rsid w:val="00EF4137"/>
    <w:rsid w:val="00EF556B"/>
    <w:rsid w:val="00F06D8F"/>
    <w:rsid w:val="00F84B2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8F61"/>
  <w15:docId w15:val="{9665715A-D68E-4A21-8E7F-524C5493D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Pr>
      <w:color w:val="0066CC"/>
      <w:u w:val="single"/>
    </w:rPr>
  </w:style>
  <w:style w:type="character" w:customStyle="1" w:styleId="Teksttreci">
    <w:name w:val="Tekst treści_"/>
    <w:basedOn w:val="Domylnaczcionkaakapitu"/>
    <w:link w:val="Teksttreci0"/>
    <w:rPr>
      <w:rFonts w:ascii="Calibri" w:eastAsia="Calibri" w:hAnsi="Calibri" w:cs="Calibri"/>
      <w:b w:val="0"/>
      <w:bCs w:val="0"/>
      <w:i w:val="0"/>
      <w:iCs w:val="0"/>
      <w:smallCaps w:val="0"/>
      <w:strike w:val="0"/>
      <w:sz w:val="20"/>
      <w:szCs w:val="20"/>
      <w:u w:val="none"/>
    </w:rPr>
  </w:style>
  <w:style w:type="character" w:customStyle="1" w:styleId="Nagweklubstopka">
    <w:name w:val="Nagłówek lub stopka_"/>
    <w:basedOn w:val="Domylnaczcionkaakapitu"/>
    <w:link w:val="Nagweklubstopka0"/>
    <w:rPr>
      <w:rFonts w:ascii="Calibri" w:eastAsia="Calibri" w:hAnsi="Calibri" w:cs="Calibri"/>
      <w:b/>
      <w:bCs/>
      <w:i w:val="0"/>
      <w:iCs w:val="0"/>
      <w:smallCaps w:val="0"/>
      <w:strike w:val="0"/>
      <w:sz w:val="20"/>
      <w:szCs w:val="20"/>
      <w:u w:val="none"/>
    </w:rPr>
  </w:style>
  <w:style w:type="character" w:customStyle="1" w:styleId="Nagweklubstopka95pt">
    <w:name w:val="Nagłówek lub stopka + 9;5 pt"/>
    <w:basedOn w:val="Nagweklubstopka"/>
    <w:rPr>
      <w:rFonts w:ascii="Calibri" w:eastAsia="Calibri" w:hAnsi="Calibri" w:cs="Calibri"/>
      <w:b/>
      <w:bCs/>
      <w:i w:val="0"/>
      <w:iCs w:val="0"/>
      <w:smallCaps w:val="0"/>
      <w:strike w:val="0"/>
      <w:color w:val="000000"/>
      <w:spacing w:val="0"/>
      <w:w w:val="100"/>
      <w:position w:val="0"/>
      <w:sz w:val="19"/>
      <w:szCs w:val="19"/>
      <w:u w:val="none"/>
      <w:lang w:val="pl-PL" w:eastAsia="pl-PL" w:bidi="pl-PL"/>
    </w:rPr>
  </w:style>
  <w:style w:type="character" w:customStyle="1" w:styleId="Nagweklubstopka1">
    <w:name w:val="Nagłówek lub stopka"/>
    <w:basedOn w:val="Nagweklubstopka"/>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Nagweklubstopka85ptBezpogrubienia">
    <w:name w:val="Nagłówek lub stopka + 8;5 pt;Bez pogrubienia"/>
    <w:basedOn w:val="Nagweklubstopka"/>
    <w:rPr>
      <w:rFonts w:ascii="Calibri" w:eastAsia="Calibri" w:hAnsi="Calibri" w:cs="Calibri"/>
      <w:b/>
      <w:bCs/>
      <w:i w:val="0"/>
      <w:iCs w:val="0"/>
      <w:smallCaps w:val="0"/>
      <w:strike w:val="0"/>
      <w:color w:val="000000"/>
      <w:spacing w:val="0"/>
      <w:w w:val="100"/>
      <w:position w:val="0"/>
      <w:sz w:val="17"/>
      <w:szCs w:val="17"/>
      <w:u w:val="none"/>
      <w:lang w:val="pl-PL" w:eastAsia="pl-PL" w:bidi="pl-PL"/>
    </w:rPr>
  </w:style>
  <w:style w:type="character" w:customStyle="1" w:styleId="TeksttreciPogrubienie">
    <w:name w:val="Tekst treści + Pogrubienie"/>
    <w:basedOn w:val="Teksttreci"/>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1">
    <w:name w:val="Tekst treści"/>
    <w:basedOn w:val="Teksttreci"/>
    <w:rPr>
      <w:rFonts w:ascii="Calibri" w:eastAsia="Calibri" w:hAnsi="Calibri" w:cs="Calibri"/>
      <w:b w:val="0"/>
      <w:bCs w:val="0"/>
      <w:i w:val="0"/>
      <w:iCs w:val="0"/>
      <w:smallCaps w:val="0"/>
      <w:strike w:val="0"/>
      <w:color w:val="000000"/>
      <w:spacing w:val="0"/>
      <w:w w:val="100"/>
      <w:position w:val="0"/>
      <w:sz w:val="20"/>
      <w:szCs w:val="20"/>
      <w:u w:val="single"/>
      <w:lang w:val="pl-PL" w:eastAsia="pl-PL" w:bidi="pl-PL"/>
    </w:rPr>
  </w:style>
  <w:style w:type="character" w:customStyle="1" w:styleId="Teksttreci2">
    <w:name w:val="Tekst treści"/>
    <w:basedOn w:val="Teksttreci"/>
    <w:rPr>
      <w:rFonts w:ascii="Calibri" w:eastAsia="Calibri" w:hAnsi="Calibri" w:cs="Calibri"/>
      <w:b w:val="0"/>
      <w:bCs w:val="0"/>
      <w:i w:val="0"/>
      <w:iCs w:val="0"/>
      <w:smallCaps w:val="0"/>
      <w:strike w:val="0"/>
      <w:color w:val="000000"/>
      <w:spacing w:val="0"/>
      <w:w w:val="100"/>
      <w:position w:val="0"/>
      <w:sz w:val="20"/>
      <w:szCs w:val="20"/>
      <w:u w:val="single"/>
      <w:lang w:val="en-US" w:eastAsia="en-US" w:bidi="en-US"/>
    </w:rPr>
  </w:style>
  <w:style w:type="character" w:customStyle="1" w:styleId="Teksttreci3">
    <w:name w:val="Tekst treści"/>
    <w:basedOn w:val="Teksttreci"/>
    <w:rPr>
      <w:rFonts w:ascii="Calibri" w:eastAsia="Calibri" w:hAnsi="Calibri" w:cs="Calibri"/>
      <w:b w:val="0"/>
      <w:bCs w:val="0"/>
      <w:i w:val="0"/>
      <w:iCs w:val="0"/>
      <w:smallCaps w:val="0"/>
      <w:strike w:val="0"/>
      <w:color w:val="000000"/>
      <w:spacing w:val="0"/>
      <w:w w:val="100"/>
      <w:position w:val="0"/>
      <w:sz w:val="20"/>
      <w:szCs w:val="20"/>
      <w:u w:val="none"/>
      <w:lang w:val="en-US" w:eastAsia="en-US" w:bidi="en-US"/>
    </w:rPr>
  </w:style>
  <w:style w:type="character" w:customStyle="1" w:styleId="Teksttreci20">
    <w:name w:val="Tekst treści (2)_"/>
    <w:basedOn w:val="Domylnaczcionkaakapitu"/>
    <w:link w:val="Teksttreci21"/>
    <w:rPr>
      <w:rFonts w:ascii="Calibri" w:eastAsia="Calibri" w:hAnsi="Calibri" w:cs="Calibri"/>
      <w:b/>
      <w:bCs/>
      <w:i w:val="0"/>
      <w:iCs w:val="0"/>
      <w:smallCaps w:val="0"/>
      <w:strike w:val="0"/>
      <w:sz w:val="20"/>
      <w:szCs w:val="20"/>
      <w:u w:val="none"/>
    </w:rPr>
  </w:style>
  <w:style w:type="character" w:customStyle="1" w:styleId="Teksttreci2Bezpogrubienia">
    <w:name w:val="Tekst treści (2) + Bez pogrubienia"/>
    <w:basedOn w:val="Teksttreci20"/>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2">
    <w:name w:val="Tekst treści (2)"/>
    <w:basedOn w:val="Teksttreci20"/>
    <w:rPr>
      <w:rFonts w:ascii="Calibri" w:eastAsia="Calibri" w:hAnsi="Calibri" w:cs="Calibri"/>
      <w:b/>
      <w:bCs/>
      <w:i w:val="0"/>
      <w:iCs w:val="0"/>
      <w:smallCaps w:val="0"/>
      <w:strike w:val="0"/>
      <w:color w:val="000000"/>
      <w:spacing w:val="0"/>
      <w:w w:val="100"/>
      <w:position w:val="0"/>
      <w:sz w:val="20"/>
      <w:szCs w:val="20"/>
      <w:u w:val="single"/>
      <w:lang w:val="pl-PL" w:eastAsia="pl-PL" w:bidi="pl-PL"/>
    </w:rPr>
  </w:style>
  <w:style w:type="character" w:customStyle="1" w:styleId="Teksttreci30">
    <w:name w:val="Tekst treści (3)_"/>
    <w:basedOn w:val="Domylnaczcionkaakapitu"/>
    <w:link w:val="Teksttreci31"/>
    <w:rPr>
      <w:rFonts w:ascii="Calibri" w:eastAsia="Calibri" w:hAnsi="Calibri" w:cs="Calibri"/>
      <w:b w:val="0"/>
      <w:bCs w:val="0"/>
      <w:i/>
      <w:iCs/>
      <w:smallCaps w:val="0"/>
      <w:strike w:val="0"/>
      <w:sz w:val="20"/>
      <w:szCs w:val="20"/>
      <w:u w:val="none"/>
    </w:rPr>
  </w:style>
  <w:style w:type="character" w:customStyle="1" w:styleId="Teksttreci4">
    <w:name w:val="Tekst treści (4)_"/>
    <w:basedOn w:val="Domylnaczcionkaakapitu"/>
    <w:link w:val="Teksttreci40"/>
    <w:rPr>
      <w:rFonts w:ascii="Tahoma" w:eastAsia="Tahoma" w:hAnsi="Tahoma" w:cs="Tahoma"/>
      <w:b/>
      <w:bCs/>
      <w:i w:val="0"/>
      <w:iCs w:val="0"/>
      <w:smallCaps w:val="0"/>
      <w:strike w:val="0"/>
      <w:sz w:val="20"/>
      <w:szCs w:val="20"/>
      <w:u w:val="none"/>
    </w:rPr>
  </w:style>
  <w:style w:type="character" w:customStyle="1" w:styleId="TeksttreciTahoma">
    <w:name w:val="Tekst treści + Tahoma"/>
    <w:basedOn w:val="Teksttreci"/>
    <w:rPr>
      <w:rFonts w:ascii="Tahoma" w:eastAsia="Tahoma" w:hAnsi="Tahoma" w:cs="Tahoma"/>
      <w:b w:val="0"/>
      <w:bCs w:val="0"/>
      <w:i w:val="0"/>
      <w:iCs w:val="0"/>
      <w:smallCaps w:val="0"/>
      <w:strike w:val="0"/>
      <w:color w:val="000000"/>
      <w:spacing w:val="0"/>
      <w:w w:val="100"/>
      <w:position w:val="0"/>
      <w:sz w:val="20"/>
      <w:szCs w:val="20"/>
      <w:u w:val="none"/>
      <w:lang w:val="pl-PL" w:eastAsia="pl-PL" w:bidi="pl-PL"/>
    </w:rPr>
  </w:style>
  <w:style w:type="character" w:customStyle="1" w:styleId="PogrubienieTeksttreciTahoma">
    <w:name w:val="Pogrubienie;Tekst treści + Tahoma"/>
    <w:basedOn w:val="Teksttreci"/>
    <w:rPr>
      <w:rFonts w:ascii="Tahoma" w:eastAsia="Tahoma" w:hAnsi="Tahoma" w:cs="Tahoma"/>
      <w:b/>
      <w:bCs/>
      <w:i w:val="0"/>
      <w:iCs w:val="0"/>
      <w:smallCaps w:val="0"/>
      <w:strike w:val="0"/>
      <w:color w:val="000000"/>
      <w:spacing w:val="0"/>
      <w:w w:val="100"/>
      <w:position w:val="0"/>
      <w:sz w:val="20"/>
      <w:szCs w:val="20"/>
      <w:u w:val="none"/>
      <w:lang w:val="pl-PL" w:eastAsia="pl-PL" w:bidi="pl-PL"/>
    </w:rPr>
  </w:style>
  <w:style w:type="character" w:customStyle="1" w:styleId="Teksttreci5">
    <w:name w:val="Tekst treści (5)_"/>
    <w:basedOn w:val="Domylnaczcionkaakapitu"/>
    <w:link w:val="Teksttreci50"/>
    <w:rPr>
      <w:rFonts w:ascii="Tahoma" w:eastAsia="Tahoma" w:hAnsi="Tahoma" w:cs="Tahoma"/>
      <w:b w:val="0"/>
      <w:bCs w:val="0"/>
      <w:i w:val="0"/>
      <w:iCs w:val="0"/>
      <w:smallCaps w:val="0"/>
      <w:strike w:val="0"/>
      <w:sz w:val="20"/>
      <w:szCs w:val="20"/>
      <w:u w:val="none"/>
    </w:rPr>
  </w:style>
  <w:style w:type="character" w:customStyle="1" w:styleId="Teksttreci5Pogrubienie">
    <w:name w:val="Tekst treści (5) + Pogrubienie"/>
    <w:basedOn w:val="Teksttreci5"/>
    <w:rPr>
      <w:rFonts w:ascii="Tahoma" w:eastAsia="Tahoma" w:hAnsi="Tahoma" w:cs="Tahoma"/>
      <w:b/>
      <w:bCs/>
      <w:i w:val="0"/>
      <w:iCs w:val="0"/>
      <w:smallCaps w:val="0"/>
      <w:strike w:val="0"/>
      <w:color w:val="000000"/>
      <w:spacing w:val="0"/>
      <w:w w:val="100"/>
      <w:position w:val="0"/>
      <w:sz w:val="20"/>
      <w:szCs w:val="20"/>
      <w:u w:val="none"/>
      <w:lang w:val="pl-PL" w:eastAsia="pl-PL" w:bidi="pl-PL"/>
    </w:rPr>
  </w:style>
  <w:style w:type="paragraph" w:customStyle="1" w:styleId="Teksttreci0">
    <w:name w:val="Tekst treści"/>
    <w:basedOn w:val="Normalny"/>
    <w:link w:val="Teksttreci"/>
    <w:pPr>
      <w:shd w:val="clear" w:color="auto" w:fill="FFFFFF"/>
      <w:spacing w:after="660" w:line="288" w:lineRule="exact"/>
      <w:ind w:hanging="400"/>
      <w:jc w:val="center"/>
    </w:pPr>
    <w:rPr>
      <w:rFonts w:ascii="Calibri" w:eastAsia="Calibri" w:hAnsi="Calibri" w:cs="Calibri"/>
      <w:sz w:val="20"/>
      <w:szCs w:val="20"/>
    </w:rPr>
  </w:style>
  <w:style w:type="paragraph" w:customStyle="1" w:styleId="Nagweklubstopka0">
    <w:name w:val="Nagłówek lub stopka"/>
    <w:basedOn w:val="Normalny"/>
    <w:link w:val="Nagweklubstopka"/>
    <w:pPr>
      <w:shd w:val="clear" w:color="auto" w:fill="FFFFFF"/>
      <w:spacing w:line="0" w:lineRule="atLeast"/>
    </w:pPr>
    <w:rPr>
      <w:rFonts w:ascii="Calibri" w:eastAsia="Calibri" w:hAnsi="Calibri" w:cs="Calibri"/>
      <w:b/>
      <w:bCs/>
      <w:sz w:val="20"/>
      <w:szCs w:val="20"/>
    </w:rPr>
  </w:style>
  <w:style w:type="paragraph" w:customStyle="1" w:styleId="Teksttreci21">
    <w:name w:val="Tekst treści (2)"/>
    <w:basedOn w:val="Normalny"/>
    <w:link w:val="Teksttreci20"/>
    <w:pPr>
      <w:shd w:val="clear" w:color="auto" w:fill="FFFFFF"/>
      <w:spacing w:line="264" w:lineRule="exact"/>
      <w:ind w:hanging="360"/>
      <w:jc w:val="both"/>
    </w:pPr>
    <w:rPr>
      <w:rFonts w:ascii="Calibri" w:eastAsia="Calibri" w:hAnsi="Calibri" w:cs="Calibri"/>
      <w:b/>
      <w:bCs/>
      <w:sz w:val="20"/>
      <w:szCs w:val="20"/>
    </w:rPr>
  </w:style>
  <w:style w:type="paragraph" w:customStyle="1" w:styleId="Teksttreci31">
    <w:name w:val="Tekst treści (3)"/>
    <w:basedOn w:val="Normalny"/>
    <w:link w:val="Teksttreci30"/>
    <w:pPr>
      <w:shd w:val="clear" w:color="auto" w:fill="FFFFFF"/>
      <w:spacing w:after="60" w:line="0" w:lineRule="atLeast"/>
      <w:jc w:val="center"/>
    </w:pPr>
    <w:rPr>
      <w:rFonts w:ascii="Calibri" w:eastAsia="Calibri" w:hAnsi="Calibri" w:cs="Calibri"/>
      <w:i/>
      <w:iCs/>
      <w:sz w:val="20"/>
      <w:szCs w:val="20"/>
    </w:rPr>
  </w:style>
  <w:style w:type="paragraph" w:customStyle="1" w:styleId="Teksttreci40">
    <w:name w:val="Tekst treści (4)"/>
    <w:basedOn w:val="Normalny"/>
    <w:link w:val="Teksttreci4"/>
    <w:pPr>
      <w:shd w:val="clear" w:color="auto" w:fill="FFFFFF"/>
      <w:spacing w:before="60" w:after="180" w:line="0" w:lineRule="atLeast"/>
      <w:ind w:hanging="360"/>
      <w:jc w:val="both"/>
    </w:pPr>
    <w:rPr>
      <w:rFonts w:ascii="Tahoma" w:eastAsia="Tahoma" w:hAnsi="Tahoma" w:cs="Tahoma"/>
      <w:b/>
      <w:bCs/>
      <w:sz w:val="20"/>
      <w:szCs w:val="20"/>
    </w:rPr>
  </w:style>
  <w:style w:type="paragraph" w:customStyle="1" w:styleId="Teksttreci50">
    <w:name w:val="Tekst treści (5)"/>
    <w:basedOn w:val="Normalny"/>
    <w:link w:val="Teksttreci5"/>
    <w:pPr>
      <w:shd w:val="clear" w:color="auto" w:fill="FFFFFF"/>
      <w:spacing w:before="300" w:line="264" w:lineRule="exact"/>
      <w:ind w:hanging="360"/>
      <w:jc w:val="both"/>
    </w:pPr>
    <w:rPr>
      <w:rFonts w:ascii="Tahoma" w:eastAsia="Tahoma" w:hAnsi="Tahoma" w:cs="Tahoma"/>
      <w:sz w:val="20"/>
      <w:szCs w:val="20"/>
    </w:rPr>
  </w:style>
  <w:style w:type="paragraph" w:styleId="Nagwek">
    <w:name w:val="header"/>
    <w:basedOn w:val="Normalny"/>
    <w:link w:val="NagwekZnak"/>
    <w:uiPriority w:val="99"/>
    <w:unhideWhenUsed/>
    <w:rsid w:val="00796908"/>
    <w:pPr>
      <w:tabs>
        <w:tab w:val="center" w:pos="4536"/>
        <w:tab w:val="right" w:pos="9072"/>
      </w:tabs>
    </w:pPr>
  </w:style>
  <w:style w:type="character" w:customStyle="1" w:styleId="NagwekZnak">
    <w:name w:val="Nagłówek Znak"/>
    <w:basedOn w:val="Domylnaczcionkaakapitu"/>
    <w:link w:val="Nagwek"/>
    <w:uiPriority w:val="99"/>
    <w:rsid w:val="00796908"/>
    <w:rPr>
      <w:color w:val="000000"/>
    </w:rPr>
  </w:style>
  <w:style w:type="paragraph" w:styleId="Stopka">
    <w:name w:val="footer"/>
    <w:basedOn w:val="Normalny"/>
    <w:link w:val="StopkaZnak"/>
    <w:uiPriority w:val="99"/>
    <w:unhideWhenUsed/>
    <w:rsid w:val="00796908"/>
    <w:pPr>
      <w:tabs>
        <w:tab w:val="center" w:pos="4536"/>
        <w:tab w:val="right" w:pos="9072"/>
      </w:tabs>
    </w:pPr>
  </w:style>
  <w:style w:type="character" w:customStyle="1" w:styleId="StopkaZnak">
    <w:name w:val="Stopka Znak"/>
    <w:basedOn w:val="Domylnaczcionkaakapitu"/>
    <w:link w:val="Stopka"/>
    <w:uiPriority w:val="99"/>
    <w:rsid w:val="00796908"/>
    <w:rPr>
      <w:color w:val="000000"/>
    </w:rPr>
  </w:style>
  <w:style w:type="paragraph" w:styleId="Bezodstpw">
    <w:name w:val="No Spacing"/>
    <w:uiPriority w:val="1"/>
    <w:qFormat/>
    <w:rsid w:val="00796908"/>
    <w:rPr>
      <w:color w:val="000000"/>
    </w:rPr>
  </w:style>
  <w:style w:type="paragraph" w:styleId="Akapitzlist">
    <w:name w:val="List Paragraph"/>
    <w:basedOn w:val="Normalny"/>
    <w:uiPriority w:val="34"/>
    <w:qFormat/>
    <w:rsid w:val="00F84B20"/>
    <w:pPr>
      <w:ind w:left="720"/>
      <w:contextualSpacing/>
    </w:pPr>
  </w:style>
  <w:style w:type="character" w:customStyle="1" w:styleId="TeksttreciKursywa">
    <w:name w:val="Tekst treści + Kursywa"/>
    <w:basedOn w:val="Teksttreci"/>
    <w:rsid w:val="00C475D6"/>
    <w:rPr>
      <w:rFonts w:ascii="Calibri" w:eastAsia="Calibri" w:hAnsi="Calibri" w:cs="Calibri"/>
      <w:b w:val="0"/>
      <w:bCs w:val="0"/>
      <w:i/>
      <w:iCs/>
      <w:smallCaps w:val="0"/>
      <w:strike w:val="0"/>
      <w:color w:val="000000"/>
      <w:spacing w:val="0"/>
      <w:w w:val="100"/>
      <w:position w:val="0"/>
      <w:sz w:val="20"/>
      <w:szCs w:val="20"/>
      <w:u w:val="none"/>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aid.stat.gov.pl/Ceny"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tat.gov.pl"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1097</Words>
  <Characters>6587</Characters>
  <Application>Microsoft Office Word</Application>
  <DocSecurity>0</DocSecurity>
  <Lines>54</Lines>
  <Paragraphs>15</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Dabrowska</dc:creator>
  <cp:keywords/>
  <cp:lastModifiedBy>Marta Zacharewicz</cp:lastModifiedBy>
  <cp:revision>7</cp:revision>
  <cp:lastPrinted>2024-09-28T10:41:00Z</cp:lastPrinted>
  <dcterms:created xsi:type="dcterms:W3CDTF">2026-07-05T06:45:00Z</dcterms:created>
  <dcterms:modified xsi:type="dcterms:W3CDTF">2026-07-17T09:10:00Z</dcterms:modified>
</cp:coreProperties>
</file>